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PS230245 vom 20. Februar 2024</w:t>
      </w:r>
    </w:p>
    <w:p>
      <w:r>
        <w:t>ZH Obergericht, 2024-02-20, DE</w:t>
      </w:r>
    </w:p>
    <w:p>
      <w:r>
        <w:rPr>
          <w:b/>
        </w:rPr>
        <w:t xml:space="preserve">Quelle: </w:t>
      </w:r>
      <w:r>
        <w:t>https://mcp.opencaselaw.ch/entscheid/zh_obergericht_PS230245</w:t>
      </w:r>
    </w:p>
    <w:p>
      <w:r>
        <w:t>FR: ZH_OBERGERICHT PS230245 du 20 février 2024</w:t>
      </w:r>
    </w:p>
    <w:p>
      <w:r>
        <w:t>IT: ZH_OBERGERICHT PS230245 del 20 febbraio 2024</w:t>
      </w:r>
    </w:p>
    <w:p>
      <w:pPr>
        <w:pStyle w:val="Heading2"/>
      </w:pPr>
      <w:r>
        <w:t>Erwägungen</w:t>
      </w:r>
    </w:p>
    <w:p>
      <w:r>
        <w:rPr>
          <w:b/>
        </w:rPr>
        <w:t>E. 8</w:t>
      </w:r>
    </w:p>
    <w:p>
      <w:r>
        <w:t>Juni 2020 E. 3.b.). 3.1.1. Die Beschwerdeführerin erachtet die zwei fraglichen Betreibungen gegen sie als nichtig. Sie begründet dies damit, dass sie aufgrund des nichtigen Kaufver- trags vom 30. September 2010 nicht Eigentümerin der gepfändeten Liegenschaft an der E._____-strasse …, F._____, geworden sei (vgl. act. 10 S. 5 4. Absatz ff.). Gegenstand dieser Beschwerde sei die Feststellung der Nichtigkeit des Kaufver- trags vom 30. September 2010 (act. 10 S. 2 3. Absatz). Dieser sei deshalb nich- tig, weil es sich bei der fraglichen Liegenschaft zu diesem Zeitpunkt um eine Fa- milienwohnung gehandelt habe (u.a. in act. 10 S. 1 unten). Die Liegenschaft habe die Beschwerdeführerin einzig durch Übernahme von Schuldbriefen in Höhe von CHF 620'000.– übernommen, wodurch die Rechte an den Wohnräumen der Fa- milie beschränkt worden seien und es schliesslich zum Verlust der unbelasteten Familienwohnung gekommen sei. Ohne die Zustimmung des Ehemannes mache dieser Belastungsübertrag die Eigentumsübertragung nichtig (act. 10 S. 4 3. Ab- satz ff.). 3.1.2. Bereits im Beschwerdeverfahren PS230077 machte die Beschwerdefüh- rerin geltend, der Kaufvertrag vom 30. September 2010 sei wegen Verletzung von Formvorschriften nichtig (vgl. OGer ZH PS230077 vom 7. Juni 2023 E. 3.2.1.). Schon damals wurde ihr entgegengehalten, dass materiellrechtliche Fragen grundsätzlich vom Sachgericht zu prüfen und zu entscheiden sind, nicht von den Aufsichtsbehörden (vgl. BSK SchKG I-COMETTA/MÖCKLI, 3. Aufl. 2021, Art. 17</w:t>
      </w:r>
    </w:p>
    <w:p>
      <w:r>
        <w:t>- 4 - N 8 ff.). Insbesondere fällt die Feststellung der Eigentümerschaft am Pfandobjekt und die Feststellung des materiellen Bestandes eines Pfandes nicht in die Zustän- digkeit der Aufsichtsbehörden, sondern ist zum Gegenstand eines Widerspruchs- prozesses zu machen (vgl. BGE 127 III 115 ff.; BGer 5A_68/2014 vom 23. Mai 2014, E. 2.3.2). Mit anderen Worten ist für die Frage, ob der Kaufvertrag vom 30. September 2010 aufgrund der (behaupteten) fehlenden Zustimmung des Ehe- gatten nichtig ist, das Sachgericht zuständig. Entsprechend hat an dieser Stelle die Frage offen zu bleiben, ob es sich beim Rechtsgeschäft vom 30. September 2010 überhaupt um eine Einschränkung im Sinne von Art. 169 ZGB gehandelt hat. Im Übrigen wäre die Behauptung der Beschwerdeführerin unbegründet, die Zustimmung ihres Ehemannes zum fraglichen Rechtsgeschäft liege nicht vor, nachdem er (als Vertreter der damals veräussernden G._____ AG) den fraglichen Kaufvertrag, in welchem die von ihr geltend gemachten Tatsachen betreffend Schuldbriefübernahme festgehalten sind, mitunterzeichnet hat (vgl. act. 2/5 S. 7 und 10). Auch ist auf den Entscheid der Kammer vom 6. Mai 2022 im Verfahren PS220072 zu verweisen, insbesondere auf die Erwägung, wonach die erst im jet- zigen Stadium der Betreibung – nach der Verwertung der Liegenschaft – vorge- brachte Behauptung, der Verkauf der Liegenschaft an die Beschwerdeführerin sei ungültig, rechtsmissbräuchlich anmutet (vgl. OGer ZH PS220072 vom 6. Mai 2022 E. 3.4.1.). 3.2.1. In Bezug auf die Verarrestierung und Versteigerung von Liegenschaften der Beschwerdeführerin in H._____ hielt die Vorinstanz fest, die Argumentation der Beschwerdeführerin sei weder schlüssig belegt noch könne ihr gefolgt wer- den. Zum einen handle es sich um verschiedene hier zur Diskussion stehende Grundstücke (zwei in H._____ und eines in F._____) und zum anderen würden die jeweiligen Versteigerungen bzw. Grundpfandverwertungen verschiedene in Betreibung gesetzte Forderungen gegen die Beschwerdeführerin von unter- schiedlichen Gläubigern betreffen (act. 9 E. 2.8.). 3.2.2. Mit dieser Erwägung setzt sich die Beschwerdeführerin nicht auseinander. Sie wiederholt in diesem Zusammenhang über weite Teile lediglich ihren bereits im vorinstanzlichen Verfahren vorgebrachten Standpunkt, mit der Versteigerung</w:t>
      </w:r>
    </w:p>
    <w:p>
      <w:r>
        <w:t>- 5 - der Liegenschaften in H._____ seien alle Schuldverpflichtungen der Beschwerde- führerin untergegangen und für die gleichen Forderungen könne nicht nochmal betrieben werden (vgl. act. 10 S. 6 und im vorinstanzlichen Verfahren act. 1 S. 5). Dies genügt den – auch unter Berücksichtigung der für juristische Laien herabge- setzten – Anforderungen an die Begründung einer Beschwerde in keiner Weise. 3.3. Zusammengefasst ist die Beschwerde abzuweisen, soweit darauf einzu- treten ist. 4.1. Das Verfahren vor der oberen kantonalen Aufsichtsbehörde in Schuldbe- treibungs- und Konkurssachen ist grundsätzlich kostenlos (Art. 20a Abs. 2 Ziff. 5 SchKG). Bei bös- oder mutwilliger Prozessführung können indes Bussen bis zu CHF 1'500.– sowie Gebühren und Auslagen auferlegt werden (Art. 20a Abs. 2 Ziff. 5 SchKG). Als bös- oder mutwillige Beschwerdeführung gelten zunächst reine Verschleppungsmanöver, Handeln wider Treu und Glauben oder Rechtsmiss- brauch, indem eine Partei unbekümmert um ein konkretes Rechtsschutzinteresse alle Rechtsbehelfe unnütz ausschöpft. Ferner kann der Tatbestand der Mutwillig- keit insbesondere auch dann erfüllt sein, wenn eine Partei Tatsachen wider bes- seres Wissen als wahr behauptet, wenn sie ihre Stellungnahme auf einen Sach- verhalt abstützt, von dem sie bei der ihr zumutbaren Sorgfalt wissen müsste, dass er unrichtig ist, oder wenn sie an einer offensichtlich gesetzeswidrigen Auffassung festhält (BSK SchKG I-COMETTA/MÖCKLI, Art. 20a N 26 m.w.H.). Die Beschwerde- führerin wurde im Hinblick auf allfällige ähnliche Beschwerden in der gleichen Sa- che im letztem Beschwerdeverfahren darauf hingewiesen (vgl. OGer ZH PS230077 vom 7. Juni 2023 E. 4.1.).</w:t>
      </w:r>
    </w:p>
    <w:p>
      <w:r>
        <w:t>- 6 - Wie vorstehend aufgezeigt machte die Beschwerdeführerin auch in jenem Beschwerdeverfahren bereits die Nichtigkeit des Kaufvertrags vom 30. September 2010 geltend, wobei zugleich festgehalten wurde, dass zur Feststellung der Nich- tigkeit das Sachgericht zuständig ist (vgl. dazu vorstehend E. 3.1.2.). Nachdem sie nun erneut die Nichtigkeit des Vertrags geltend macht und ihr ein rechtsmiss- bräuchliches Prozessverhalten vorzuwerfen ist, sind für dieses Verfahren Kosten zu erheben, die auf CHF 300.– festzusetzen sind. 4.2. Parteientschädigungen sind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