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PS230240 vom 27. Dezember 2023</w:t>
      </w:r>
    </w:p>
    <w:p>
      <w:r>
        <w:t>ZH Obergericht, 2023-12-27, DE</w:t>
      </w:r>
    </w:p>
    <w:p>
      <w:r>
        <w:rPr>
          <w:b/>
        </w:rPr>
        <w:t xml:space="preserve">Quelle: </w:t>
      </w:r>
      <w:r>
        <w:t>https://mcp.opencaselaw.ch/entscheid/zh_obergericht_PS230240</w:t>
      </w:r>
    </w:p>
    <w:p>
      <w:r>
        <w:t>FR: ZH_OBERGERICHT PS230240 du 27 décembre 2023</w:t>
      </w:r>
    </w:p>
    <w:p>
      <w:r>
        <w:t>IT: ZH_OBERGERICHT PS230240 del 27 dicembre 2023</w:t>
      </w:r>
    </w:p>
    <w:p>
      <w:pPr>
        <w:pStyle w:val="Heading2"/>
      </w:pPr>
      <w:r>
        <w:t>Erwägungen</w:t>
      </w:r>
    </w:p>
    <w:p>
      <w:r>
        <w:rPr>
          <w:b/>
        </w:rPr>
        <w:t>E. 20</w:t>
      </w:r>
    </w:p>
    <w:p>
      <w:r>
        <w:t>Dezember 2023 geleistet (act. 9). Die vorinstanzlichen Akten wurden beige- zogen (act. 5/1-11). Die Sache erweist sich als spruchreif. 2. 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der Rechtsmit- telfrist abschliessend zu begründen, was bedeutet, dass die Schuldnerin die im Gesetz aufgezählten konkurshindernden Tatsachen bis zum Ende der Frist nach- weisen bzw. glaubhaft machen muss, wobei sie auch neue Behauptungen und Beweismittel vorbringen kann. Nachfristen können nicht gewährt werden (vgl. BGE 136 III 294 E. 3). 3.1. Da die Schuldnerin den angefochtenen Entscheid am 1. Dezember 2023 in Empfang nahm (vgl. act. 5/11), lief die zehntägige Beschwerdefrist gemäss Art. 174 Abs. 1 SchKG am 11. Dezember 2023 ab. Die Beschwerde datiert von diesem Tag bzw. wurde dann der Post übergeben (vgl. act. 2) und erweist sich in- sofern als rechtzeitig, weshalb darauf einzutreten ist. Eine Ergänzung der Be- schwerde nach Angabe einer Zahlungsverbindung ans Obergericht, wie die Schuldnerin dies gemäss ihrer bei der Kammer am 12. Dezember 2023 einge-</w:t>
      </w:r>
    </w:p>
    <w:p>
      <w:r>
        <w:t>- 3 - gangenen (vgl. act. 2) Beschwerde vornehmen möchte, erweist sich allerdings zu- folge Ablaufs der Beschwerdefrist als nicht mehr möglich. 3.2. Die Schuldnerin macht in ihrer Beschwerde geltend, sie könne die Konkurs- forderung inklusive der Gerichtskosten begleichen; sie beabsichtige, die ausste- henden Beträge beim Obergericht einzubezahlen, sobald ihr die entsprechende Zahlungsverbindung bekannt gegeben worden sei (act. 2). Einen der drei gesetz- lich vorgesehenen Konkurshinderungsgründe – also Tilgung, Hinterlegung oder Gläubigerverzicht – weist sie allerdings nicht innert der Beschwerdefrist mittels Urkunden nach und es ist nach ihren Ausführungen in der Beschwerde auch nicht davon auszugehen, dass ein Konkurshinderungsgrund vor Ablauf der Beschwer- defrist vorlag. Zu ihrer Zahlungsfähigkeit äussert sich die Schuldnerin sodann gar nicht und reichte auch keine Belege dazu ein. Mangels Vorliegen der Vorausset- zungen für eine Aufhebung des Konkurses ist die Beschwerde folglich abzuwei- sen. 4. Der Vollständigkeit halber ist die Schuldnerin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jeder Gläubigerin eine schriftliche Erklärung über den Rückzug ihrer Konkurseingabe vorliegt oder ein Nachlassvertrag zustande gekommen ist. 5. Ausgangsgemäss sind die Kosten des Beschwerdeverfahrens der Schuldne- rin aufzuerlegen (Art. 106 Abs. 1 ZPO). Eine Parteientschädigung für das Be- schwerdeverfahren ist nicht zuzusprechen; der Schuldnerin nicht aufgrund ihres Unterliegens, der Gläubigerin nicht mangels Umtrieben in diesem Verfahren.</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