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PS230232 vom 20. Dezember 2023</w:t>
      </w:r>
    </w:p>
    <w:p>
      <w:r>
        <w:t>ZH Obergericht, 2023-12-20, DE</w:t>
      </w:r>
    </w:p>
    <w:p>
      <w:r>
        <w:rPr>
          <w:b/>
        </w:rPr>
        <w:t xml:space="preserve">Quelle: </w:t>
      </w:r>
      <w:r>
        <w:t>https://mcp.opencaselaw.ch/entscheid/zh_obergericht_PS230232</w:t>
      </w:r>
    </w:p>
    <w:p>
      <w:r>
        <w:t>FR: ZH_OBERGERICHT PS230232 du 20 décembre 2023</w:t>
      </w:r>
    </w:p>
    <w:p>
      <w:r>
        <w:t>IT: ZH_OBERGERICHT PS230232 del 20 dicembre 2023</w:t>
      </w:r>
    </w:p>
    <w:p>
      <w:pPr>
        <w:pStyle w:val="Heading2"/>
      </w:pPr>
      <w:r>
        <w:t>Erwägungen</w:t>
      </w:r>
    </w:p>
    <w:p>
      <w:r>
        <w:rPr>
          <w:b/>
        </w:rPr>
        <w:t>E. 1.1</w:t>
      </w:r>
    </w:p>
    <w:p>
      <w:r>
        <w:t>Mit Eingabe vom 18. August 2023 (persönlich überbracht am 22. August 2023; act. 3; samt Beilagen, act. 4/1–7) erhob die Beschwerdeführerin beim Be- zirksgericht Uster als untere kantonale Aufsichtsbehörde über die Betreibungs- und Konkursämter (fortan: Vorinstanz) sinngemäss Beschwerde gegen die Pfän- dung Nr. … des Betreibungsamts Uster. Mit Eingabe vom 19. Oktober 2023 (Poststempel vom 23. Oktober 2023; act. 1; samt Beilagen, act. 2/1–3) reichte die Beschwerdeführerin bei der Vorinstanz eine weitere Beschwerde gegen die be- sagte Pfändung ein, wobei sie die vorne aufgeführten Anträge stellte. Im Urteil</w:t>
      </w:r>
    </w:p>
    <w:p>
      <w:r>
        <w:t>- 4 - vom 7. November 2023 (act. 5 = act. 8 [Aktenexemplar] = act. 10) hielt die Vo- rinstanz fest, die Eingabe vom 19. Oktober 2023 verweise auf die Eingabe vom 18. August 2023 (act. 8 E. 1.3 und E. 2.3). Unter Berücksichtigung beider Einga- ben wies die Vorinstanz die Beschwerde ab, soweit sie darauf eintrat (act. 8 Dis- positiv-Ziffer 2). Dieses vorinstanzliche Urteil wurde der Beschwerdeführerin nach eigenen Angaben am 17. November 2023 zugestellt (vgl. act. 9 S. 1), wodurch die 10-tägige Beschwerdefrist gemäss Art. 18 SchKG ausgelöst wurde und entspre- chend am 27. November 2023 endete.</w:t>
      </w:r>
    </w:p>
    <w:p>
      <w:r>
        <w:rPr>
          <w:b/>
        </w:rPr>
        <w:t>E. 1.2</w:t>
      </w:r>
    </w:p>
    <w:p>
      <w:r>
        <w:t>Gegen das vorinstanzliche Urteil erhob die Beschwerdeführerin mit Einga- be vom 26. November 2023 (act. 9; samt Beilagen, act. 10, act. 11/1–4, 6–8) rechtzeitig (Postaufgabe über "My Post 24" am 27. November 2023, act. 9A) die vorliegende Beschwerde.</w:t>
      </w:r>
    </w:p>
    <w:p>
      <w:r>
        <w:rPr>
          <w:b/>
        </w:rPr>
        <w:t>E. 1.3</w:t>
      </w:r>
    </w:p>
    <w:p>
      <w:r>
        <w:t>Mit Eingabe vom 9. Dezember 2023 (Poststempel vom 11. Dezember 2023; act. 13; samt Beilagen, act. 14/1–2) führte die Beschwerdeführerin aus, das vorinstanzliche Urteil sei ihr abermals zugestellt worden, weil die erste Zustellung offenbar nicht registriert worden sei. Sie nutze daher die Gelegenheit, um "erneut fristgerecht" eine Beschwerdeergänzung anzubringen (vgl. act. 13 S. 1). Die zwei- te Zustellung vom 29. November 2023 ergibt sich auch aus den Akten (act. 6). Sie verlängerte die durch die erste Zustellung vom 17. November 2023 ausgelöste Rechtsmittelfrist jedoch auch unter dem Gesichtspunkt des Vertrauensschutzes nicht, da sie erst nach deren Ablauf, d.h. nach dem 27. November 2023, erfolgte (vgl. BGer 4A_53/2019 vom 14. Mai 2019 E. 4). Die Beschwerdeergänzung vom 9. Dezember 2023 erweist sich somit als verspätet. Da im Übrigen das umfassen- de Novenverbot gemäss Art. 326 Abs. 1 ZPO gilt und die Beschwerdeergänzung weitgehend aus Noven besteht (vgl. E. 2), ist diese von vornherein unbeachtlich (vgl. OGer ZH RT190183 vom 23. Juli 2020 E. 2.2).</w:t>
      </w:r>
    </w:p>
    <w:p>
      <w:r>
        <w:rPr>
          <w:b/>
        </w:rPr>
        <w:t>E. 1.4</w:t>
      </w:r>
    </w:p>
    <w:p>
      <w:r>
        <w:t>Die vorinstanzlichen Akten wurden beigezogen (act. 1–6). Weitere pro- zessleitende Schritte erübrigen sich, zumal sich die Beschwerde als offensichtlich unbegründet erweist (vgl. E. 3 ff.). Das Verfahren ist spruchreif.</w:t>
      </w:r>
    </w:p>
    <w:p>
      <w:r>
        <w:t>- 5 -</w:t>
      </w:r>
    </w:p>
    <w:p>
      <w:r>
        <w:rPr>
          <w:b/>
        </w:rPr>
        <w:t>E. 2</w:t>
      </w:r>
    </w:p>
    <w:p>
      <w:r>
        <w:t>Für das Beschwerdeverfahren vor der oberen kantonalen Aufsichtsbehörde nach Art. 18 SchKG sind Art. 319 ff. ZPO sinngemäss anwendbar (Art. 20a Abs. 3 SchKG i.V.m. § 18 EG SchKG und § 84 GOG). Die Beschwerde ist schriftlich, mit Anträgen versehen und begründet einzureichen. An die Beschwerdeschrift von ju- ristischen Laien werden nur minimale Anforderungen gestellt. Als Antrag genügt eine Formulierung, aus der sich mit gutem Willen herauslesen lässt, wie die Be- schwerdeinstanz entscheiden soll. Die Begründung ist ausreichend, wenn darin (auch nur rudimentär) zum Ausdruck kommt, an welchen Mängeln der angefoch- tene Entscheid leidet bzw. weshalb er in den angefochtenen Punkten unrichtig sein soll (vgl. statt vieler OGer ZH LC220037 vom 7. März 2023 E. 2.2 m.w.H.). Demgegenüber genügt selbst eine Laieneingabe der Begründungsanforderung nicht, wenn sie lediglich die vor der Vorinstanz vorgetragenen Argumente wieder- holt oder am angefochtenen Entscheid bloss allgemeine Kritik übt, ohne sich mit den vorinstanzlichen Erwägungen auch nur ansatzweise auseinanderzusetzen (vgl. BGE 147 III 176 E. 4.2.1; BGE 138 III 374 E. 4.3; OGer ZH LC200008 vom 13. Oktober 2020 E. II/1.1 m.w.H.). Fehlt es an einer hinreichenden Begründung, ist auf die Beschwerde bzw. die fragliche Rüge nicht einzutreten (vgl. Art. 321 Abs. 1 ZPO). Als Beschwerdegründe können die unrichtige Rechtsanwendung sowie die offensichtlich unrichtige Feststellung des Sachverhalts geltend gemacht werden (Art. 320 ZPO). Neue Anträge, neue Tatsachenbehauptungen und neue Beweismittel sind ausgeschlossen (Art. 326 Abs. 1 ZPO; vgl. OGer ZH PS220180 vom 9. Februar 2023 E. 2.1 f.).</w:t>
      </w:r>
    </w:p>
    <w:p>
      <w:r>
        <w:rPr>
          <w:b/>
        </w:rPr>
        <w:t>E. 3.1</w:t>
      </w:r>
    </w:p>
    <w:p>
      <w:r>
        <w:t>Gegenstand des vorinstanzlichen wie auch des Beschwerdeverfahrens ist die Pfändung einer Entschädigung, welche der Beschwerdeführerin aufgrund ihrer Tätigkeit als Behördenmitglied (GF C._____) zukommt (fortan: "Behördenent- schädigung"). Die Vorinstanz hat dazu erwogen, es handle sich um Einkommen, das keiner Pfändungsbeschränkung gemäss Art. 92 f. SchKG unterliege (act. 8 E. 2.5).</w:t>
      </w:r>
    </w:p>
    <w:p>
      <w:r>
        <w:rPr>
          <w:b/>
        </w:rPr>
        <w:t>E. 3.2</w:t>
      </w:r>
    </w:p>
    <w:p>
      <w:r>
        <w:t>Die Beschwerdeführerin beanstandet die vorinstanzliche Qualifikation der Behördenentschädigung als der Natur nach pfändbares Einkommen nicht. Sie</w:t>
      </w:r>
    </w:p>
    <w:p>
      <w:r>
        <w:t>- 6 - bringt jedoch sinngemäss vor, es sei nur derjenige Teil der Behördenentschädi- gung pfändbar, welcher über das betreibungsrechtliche Existenzminimum hinaus- gehe. Ihr betreibungsrechtliches Existenzminimum sei nicht gedeckt, was sich da- rin zeige, dass sie Rechnungen der Krankenkasse und der Unfallversicherung sowie Mietzinsforderungen nicht begleichen könne. Demzufolge sei die Pfändung der Behördenentschädigung aufzuheben (vgl. act. 9 S. 3).</w:t>
      </w:r>
    </w:p>
    <w:p>
      <w:r>
        <w:rPr>
          <w:b/>
        </w:rPr>
        <w:t>E. 3.3</w:t>
      </w:r>
    </w:p>
    <w:p>
      <w:r>
        <w:t>Wie die Vorinstanz zutreffend erwogen hat, stellt die Behördenentschädi- gung keinen absolut unpfändbaren Vermögenswert im Sinne von Art. 92 SchKG dar. Hingegen dürfte es sich dabei – wie von der Beschwerdeführerin geltend gemacht – um beschränkt pfändbares Erwerbseinkommen im Sinne von Art. 93 Abs. 1 SchKG handeln, welches – nur aber immerhin – soweit gepfändet werden darf, als dadurch nicht in das betreibungsrechtliche Existenzminimum der Schuld- nerin eingegriffen wird. Die vorinstanzliche Erwägung, wonach kein Anwendungs- fall von Art. 92 f. SchKG vorliege (act. 8 E. 2.5), erweist sich insofern als missver- ständlich. Nichtsdestotrotz können die Ausführungen der Beschwerdeführerin zu ihrem betreibungsrechtlichen Existenzminimum im vorliegenden Beschwerdever- fahren nicht berücksichtigt werden, da die Vorinstanz dessen Berechnung bzw. die Höhe der pfändbaren Quote gemäss Art. 93 SchKG gar nicht beurteilt hat. Zwar hatte die Beschwerdeführerin die "vollständig-komplette Überprüfung der Rechtmässigkeit" der Pfändung beantragt, insbesondere die korrekte Erfassung ihres betreibungsrechtlichen Existenzminimums (vgl. act. 1 S. 2). Die Vorinstanz trat auf diesen Antrag indessen nicht ein, weil die Beschwerdeführerin keine Aus- führungen dazu gemacht habe, welche (Einkommens- und Bedarfs-)Positionen vom Betreibungsamt festgesetzt worden seien und wie diese abgeändert werden sollten (act. 8 E. 2.6). Die Beschwerdeführerin macht zu Recht nicht geltend, dass ihre Antragsbegründung hinreichend gewesen sei bzw. dass die Vorinstanz auf ihren Antrag hätte eintreten müssen. Entgegen der Auffassung der Beschwerde- führerin war es nicht Aufgabe der Vorinstanz, gestützt auf die von der Beschwer- deführerin eingereichten Belege deren Existenzminimum bzw. die pfändbare Quo- te zu berechnen. Da die pfändbare Quote also nicht Gegenstand des vorinstanzli- chen Sachurteils war, kann sie im vorliegenden Beschwerdeverfahren auch nicht</w:t>
      </w:r>
    </w:p>
    <w:p>
      <w:r>
        <w:t>- 7 - überprüft werden. Entsprechend sind die diesbezüglichen Ausführungen der Be- schwerdeführerin unbeachtlich.</w:t>
      </w:r>
    </w:p>
    <w:p>
      <w:r>
        <w:rPr>
          <w:b/>
        </w:rPr>
        <w:t>E. 3.4</w:t>
      </w:r>
    </w:p>
    <w:p>
      <w:r>
        <w:t>Nach dem Gesagten erschöpft sich die Rüge der Beschwerdeführerin mit Bezug auf die vorinstanzlichen Erwägungen zur Pfändbarkeit der Behördenent- schädigung in (formell) unbeachtlichen Ausführungen. Folglich ist darauf mangels hinreichender Begründung nicht einzutreten (vgl. E. 2).</w:t>
      </w:r>
    </w:p>
    <w:p>
      <w:r>
        <w:rPr>
          <w:b/>
        </w:rPr>
        <w:t>E. 4</w:t>
      </w:r>
    </w:p>
    <w:p>
      <w:r>
        <w:t>Weiter stellt die Beschwerdeführerin zwei Anträge zur Berechnung des be- treibungsrechtlichen Existenzminimums (Beschwerdeanträge 2 und 3), welche sie im vorinstanzlichen Verfahren noch nicht gestellt hatte (vgl. act. 1 und act. 3). Wie erwähnt, sind neue Anträge in diesem Beschwerdeverfahren ausgeschlossen, weshalb darauf nicht einzutreten ist (vgl. E. 2).</w:t>
      </w:r>
    </w:p>
    <w:p>
      <w:r>
        <w:rPr>
          <w:b/>
        </w:rPr>
        <w:t>E. 5</w:t>
      </w:r>
    </w:p>
    <w:p>
      <w:r>
        <w:t>Schliesslich bemängelt die Beschwerdeführerin, dass die Vorinstanz auf ihre erste Beschwerde, welche sie am 22. August 2023 persönlich überbracht habe, nicht reagiert habe (vgl. act. 9 S. 4). Dem ist entgegenzuhalten, dass die Vo- rinstanz die fragliche Beschwerde im vorliegend angefochtenen Urteil vom</w:t>
      </w:r>
    </w:p>
    <w:p>
      <w:r>
        <w:rPr>
          <w:b/>
        </w:rPr>
        <w:t>E. 7</w:t>
      </w:r>
    </w:p>
    <w:p>
      <w:r>
        <w:t>Das Beschwerdeverfahren vor den kantonalen Aufsichtsbehörden über die Betreibungs- und Konkursämter ist kostenlos (Art. 20a Abs. 2 Ziff. 5 SchKG und Art. 61 Abs. 2 lit. a GebV SchKG). Parteientschädigungen dürfen in diesem Ver- fahren nicht zugesprochen werden (Art. 62 Abs. 2 GebV SchKG).</w:t>
      </w:r>
    </w:p>
    <w:p>
      <w:r>
        <w:t>- 8 - Es wird beschlossen: 1. Auf die Beschwerde wird nicht eingetreten. 2. Es werden keine Kosten erhoben. 3. Es werden keine Parteientschädigungen zugesprochen. 4. Schriftliche Mitteilung an die Beschwerdeführerin sowie an das Bezirksge- richt Uster und das Betreibungsamt Uster, je gegen Empfangsschein. Die erstinstanzlichen Akten gehen nach unbenütztem Ablauf der Rechtsmittelfrist an die Vorinstanz zurück. 5.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einen Entscheid der kantonalen Aufsichtsbehörde in Schuldbetrei- bungs- und Konkurssachen im Sinne von Art. 74 Abs. 2 lit. c BGG. Die Beschwerde an das Bundesgericht hat keine aufschiebende Wirkung. Obergericht des Kantons Zürich II. Zivilkammer Die Gerichtsschreiberin: MLaw L. Jauch versandt am: 22. Dezember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