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PS230230 vom 14. Dezember 2023</w:t>
      </w:r>
    </w:p>
    <w:p>
      <w:r>
        <w:t>ZH Obergericht, 2023-12-14, DE</w:t>
      </w:r>
    </w:p>
    <w:p>
      <w:r>
        <w:rPr>
          <w:b/>
        </w:rPr>
        <w:t xml:space="preserve">Quelle: </w:t>
      </w:r>
      <w:r>
        <w:t>https://mcp.opencaselaw.ch/entscheid/zh_obergericht_PS230230</w:t>
      </w:r>
    </w:p>
    <w:p>
      <w:r>
        <w:t>FR: ZH_OBERGERICHT PS230230 du 14 décembre 2023</w:t>
      </w:r>
    </w:p>
    <w:p>
      <w:r>
        <w:t>IT: ZH_OBERGERICHT PS230230 del 14 dicembre 2023</w:t>
      </w:r>
    </w:p>
    <w:p>
      <w:pPr>
        <w:pStyle w:val="Heading2"/>
      </w:pPr>
      <w:r>
        <w:t>Erwägungen</w:t>
      </w:r>
    </w:p>
    <w:p>
      <w:r>
        <w:rPr>
          <w:b/>
        </w:rPr>
        <w:t>E. 7</w:t>
      </w:r>
    </w:p>
    <w:p>
      <w:r>
        <w:t>Mai 2021 E. 3.1 m.w.H.; 5A_268/2012 vom 12. Juli 2012, E. 3.4; ZK ZPO-</w:t>
      </w:r>
    </w:p>
    <w:p>
      <w:r>
        <w:t>- 3 - STAEHELIN, 3. Aufl. 2016, Art. 138 N 5) –, wurde das Urteil nicht abgeholt und an die Vorinstanz zurückgesandt (vgl. act. 12). Da die Schuldnerin mit einer Zustel- lung rechnen musste, gilt ihr das Urteil deshalb am siebten Tag nach dem erfolg- losen Zustellversuch vom 21. November 2023 (a.a.O.), mithin am 28. November 2023 (vgl. act. 12), als zugestellt (vgl. Art. 138 Abs. 3 lit. a ZPO). Die 10-tägige Beschwerdefrist lief demnach am 8. Dezember 2023 ab. Die Beschwerde der Schuldnerin vom 25. November 2023 (vgl. oben E. 1.3) erfolgte somit rechtzeitig. 2.2 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(vgl. Art. 174 Abs. 2 SchKG). Tilgung und Hinterlegung müssen einschliesslich Zinsen und Kosten er- folgt sein. Dies bedeutet praxisgemäss, dass zusätzlich zur Tilgung bzw. Hinterle- gung der Konkursforderung auch die Kosten des Konkursamtes und des erstin- stanzlichen Konkursgerichts beim zuständigen Konkursamt rechtzeitig sicherzu- stellen sind (vgl. etwa OGer ZH PS110095 vom 6. Juli 2011 = ZR 110 [2011] Nr. 5; KUKO SchKG-DIGGELMANN, 2. Aufl. 2014, Art. 174 N 10). Die Schuldnerin hat in ihrer Beschwerde keinen Konkurshinderungsgrund im Sinne von Art. 174 SchKG vorgebracht oder belegt und zu ihrer glaubhaft zu ma- chenden Zahlungsfähigkeit einzig eine Schuldnerauskunft und eine Zahlungsliste eingereicht, was nicht genügt. Auf die gesetzlichen Voraussetzungen einer Auf- hebung der Konkurseröffnung (Art. 174 SchKG) und die hierfür beizubringenden Belege und Unterlagen wurde die Schuldnerin seitens der Kammer mit Verfügung vom 27. November 2023 (vgl. oben E. 1.4) hingewiesen. Innert Frist gingen je- doch keine weiteren Eingaben und Belege ein. Da neue Behauptungen und Ur- kundenbeweise vor Ablauf der Beschwerdefrist beigebracht werden müssen (vgl. BGE 136 III 294 ff.; 139 III 491 ff.) und diese hier am 8. Dezember 2023 abgelau- fen ist (vgl. soeben E. 2.2), kann die Schuldnerin dies nun auch nicht mehr nach- holen. Die Gewährung einer Fristerstreckung bzw. einer Nachfrist ist ausge-</w:t>
      </w:r>
    </w:p>
    <w:p>
      <w:r>
        <w:t>- 4 - schlossen, weil es sich bei der Beschwerdefrist um eine gesetzliche Frist handelt (vgl. Art. 144 Abs. 1 ZPO). 2.3 Die Konkurseröffnung kann somit nicht aufgehoben werden. Die Beschwer- de ist abzuweisen. 3. Ausgangsgemäss sind die Prozesskosten der Schuldnerin aufzuerlegen (vgl. Art. 106 Abs. 1 ZPO) und mit dem geleisteten Kostenvorschuss zu verrech- nen (vgl. Art. 111 ZPO). Parteientschädigungen sind keine zuzusprechen: Der Schuldnerin nicht, weil sie unterliegt, der Gläubigerin nicht, weil ihr in diesem Ver- fahren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