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PS230214 vom 1. Dezember 2023</w:t>
      </w:r>
    </w:p>
    <w:p>
      <w:r>
        <w:t>ZH Obergericht, 2023-12-01, DE</w:t>
      </w:r>
    </w:p>
    <w:p>
      <w:r>
        <w:rPr>
          <w:b/>
        </w:rPr>
        <w:t xml:space="preserve">Quelle: </w:t>
      </w:r>
      <w:r>
        <w:t>https://mcp.opencaselaw.ch/entscheid/zh_obergericht_PS230214</w:t>
      </w:r>
    </w:p>
    <w:p>
      <w:r>
        <w:t>FR: ZH_OBERGERICHT PS230214 du 1 décembre 2023</w:t>
      </w:r>
    </w:p>
    <w:p>
      <w:r>
        <w:t>IT: ZH_OBERGERICHT PS230214 del 1 dicembre 2023</w:t>
      </w:r>
    </w:p>
    <w:p>
      <w:pPr>
        <w:pStyle w:val="Heading2"/>
      </w:pPr>
      <w:r>
        <w:t>Erwägungen</w:t>
      </w:r>
    </w:p>
    <w:p>
      <w:r>
        <w:rPr>
          <w:b/>
        </w:rPr>
        <w:t>E. 28</w:t>
      </w:r>
    </w:p>
    <w:p>
      <w:r>
        <w:t>April 2023, Fr. 7.65 Zinsen, Fr. 65.– Mahn- und Bearbeitungsgebühr und Fr. 66.– Betreibungskosten ([act. 3 =] act. 6 [= act. 7/10]). Dieser Entscheid wurde dem Schuldner am 11. November 2023 zugestellt (act. 7/11). 1.2 Gegen diesen Entscheid erhob der Schuldner mit Eingabe vom 11. November 2023 (Datum Poststempel) Beschwerde und verlangte sinngemäss die Aufhebung des Konkurses. Er führte aus, die Vorinstanz habe zu Unrecht von ihm eingereichte Unterlagen nicht berücksichtigt, aus welchen sich seine Zah- lungsunfähigkeit ergebe. Da er Sozialhilfeempfänger sei und keinerlei Vermögen besitze, sei jeglicher Entscheid und Vollzug über Schulden, welche zu weiteren Kosten führe, rechtsmissbräuchlich und rechtswidrig (act. 2). 1.3 Mit Verfügung vom 13. November 2023 wurde festgehalten, dass kein Kon- kursaufhebungsgrund gegeben sei und die aufschiebende Wirkung wurde der Beschwerde einstweilen nicht erteilt. Der Schuldner wurde darauf hingewiesen, unter welchen Voraussetzungen eine Aufhebung des Konkurses in Frage komme und dass er die Beschwerde bis zum Ablauf der Beschwerdefrist ergänzen könne (act. 8). Eine Ergänzung der Beschwerde ging innert der Beschwerdefrist nicht ein. Die vorinstanzlichen Akten wurden beigezogen (act. 7/1–11). Die Sache ist spruchreif. 2.1 Wie bereits mit Verfügung vom 13. November 2023 festgehalten, kann ge- mäss Art. 174 Abs. 2 SchKG die Konkurseröffnung im Beschwerdeverfahren auf- gehoben werden, wenn der Schuldner mit der Einlegung des Rechtsmittels seine Zahlungsfähigkeit glaubhaft macht und durch Urkunden einen der drei gesetzlich vorgesehenen Konkurshinderungsgründe (Tilgung, Hinterlegung oder Gläubiger- verzicht) nachweist.</w:t>
      </w:r>
    </w:p>
    <w:p>
      <w:r>
        <w:t>- 3 - 2.2 Wie ebenfalls bereits mit Verfügung vom 13. November 2023 festgehalten – und dabei bleibt es mangels Ergänzung der Beschwerde – weist der Schuldner keinen Konkurshinderungsgrund nach und erklärt darüber hinaus gleich selbst, zahlungsunfähig zu sein. Der Schuldner erhebt einzig deshalb Beschwerde, weil er sich daran stört, dass die Vorinstanz trotz bzw. ohne Berücksichtigung seiner Zahlungsunfähigkeit ein Konkurseröffnungsverfahren durchführte und den Kon- kurs eröffnete, was weitere Kosten generiere. Dieser Standpunkt des Schuldners verfängt indes nicht: Die schlechte finanzielle Lage ist kein Grund, von der Kon- kurseröffnung abzusehen, sondern vielmehr regelmässig gerade ursächlich für die Eröffnung des Konkurses. Seine Kritik an der Vorinstanz verfängt somit nicht. Nicht innert Frist (bzw. gar nicht) belegt hat der Schuldner sodann, dass er die Kosten des konkursgerichtlichen Verfahrens und jene des Konkursamtes in- nerhalb der Beschwerdefrist beim Konkursamt sichergestellt hat. Auch aus die- sem Grund sind die Voraussetzungen zur Aufhebung des Konkurses nicht erfüllt. 2.3 Die Beschwerde ist abzuweisen. 3. Der Vollständigkeit halber ist der Schuldner auf Art. 195 SchKG hinzuwei- sen, wonach (frühestens nach Ende der Eingabefrist, vgl. Art. 195 Abs. 2 SchKG) die Möglichkeit eines nachträglichen Widerrufs des Konkurses durch das Kon- kursgericht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 4.1 Ausgangsgemäss sind die Kosten des Beschwerdeverfahrens von Fr. 750.– dem Schuldner aufzuerlegen (Art. 106 Abs. 1 ZPO). Eine Parteientschädigung für das Beschwerdeverfahren ist nicht zuzusprechen; dem Schuldner nicht aufgrund seines Unterliegens, der Gläubigerin nicht mangels Umtrieben in diesem Verfah- ren. 4.2 Der Schuldner ersucht um Bewilligung der unentgeltlichen Rechtspflege für das vorliegende Beschwerdeverfahren (act. 2). Nach dem Gesagten ist die Be-</w:t>
      </w:r>
    </w:p>
    <w:p>
      <w:r>
        <w:t>- 4 - schwerde indes als klar aussichtslos zu bezeichnen, weshalb das Gesuch abzu- weisen ist (vgl. Art. 117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