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PS230182 vom 3. Oktober 2023</w:t>
      </w:r>
    </w:p>
    <w:p>
      <w:r>
        <w:t>ZH Obergericht, 2023-10-03, DE</w:t>
      </w:r>
    </w:p>
    <w:p>
      <w:r>
        <w:rPr>
          <w:b/>
        </w:rPr>
        <w:t xml:space="preserve">Quelle: </w:t>
      </w:r>
      <w:r>
        <w:t>https://mcp.opencaselaw.ch/entscheid/zh_obergericht_PS230182</w:t>
      </w:r>
    </w:p>
    <w:p>
      <w:r>
        <w:t>FR: ZH_OBERGERICHT PS230182 du 3 octobre 2023</w:t>
      </w:r>
    </w:p>
    <w:p>
      <w:r>
        <w:t>IT: ZH_OBERGERICHT PS230182 del 3 ottobre 2023</w:t>
      </w:r>
    </w:p>
    <w:p>
      <w:pPr>
        <w:pStyle w:val="Heading2"/>
      </w:pPr>
      <w:r>
        <w:t>Erwägungen</w:t>
      </w:r>
    </w:p>
    <w:p>
      <w:r>
        <w:rPr>
          <w:b/>
        </w:rPr>
        <w:t>E. 27</w:t>
      </w:r>
    </w:p>
    <w:p>
      <w:r>
        <w:t>September 2023 (Datum Poststempel) rechtzeitig Beschwerde beim Oberge- richt als obere kantonale Aufsichtsbehörde über Schuldbetreibung und Konkurs (act. 7, vgl. zur Rechtzeitigkeit act. 4/2). Er verlangt sinngemäss die Aufhebung des vorinstanzlichen Entscheides und die Gutheissung seiner vor Vorinstanz ge- stellten Anträge. Die Beschwerdeschrift (act. 7) trägt offenbar – wie bereits diejenige vor Vor- instanz (vgl. act. 1B) – nicht die Unterschrift des Beschwerdeführers, sondern ei- ne "i.V."-Unterschrift, wobei nicht ersichtlich ist, wer die unterschreibende Person ist. Eine Vollmacht liegt der Beschwerde nicht bei. Indes kann vorliegend auf das Ansetzen einer Nachfrist in Anwendung von Art. 132 ZPO zur Nachreichung der</w:t>
      </w:r>
    </w:p>
    <w:p>
      <w:r>
        <w:t>- 3 - entsprechenden Vollmacht bzw. Genehmigung der Beschwerdeschrift durch den Beschwerdeführer abgesehen werden, da der Beschwerde von vornherein kein Erfolg beschieden ist. Vom Einholen einer Antwort bzw. einer Vernehmlassung kann abgesehen werden (Art. 20a Abs. 3 SchKG i.V.m. Art. 322 Abs. 1 sowie Art. 324 ZPO bzw. § 83 Abs. 2 GOG/ZH). Das Verfahren ist spruchreif. 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diese Voraussetzungen nicht gegeben, ist auf die Be- schwerde nicht einzutreten. Neue Tatsachen und Beweismittel sind im Beschwer- deverfahren ausgeschlossen (Art. 326 ZPO). 3.1.1. Vor Vorinstanz machte der Beschwerdeführer geltend, es gebe nur ei- ne korrekte Schreibweise für Namen. Zuerst komme der (Nach-)Name, dann ein Datenfeldtrenner, also entweder ein Komma oder eine Zeilenschaltung, danach der Vorname (oder mehrere, wenn vorhanden). Auf Titelbezeichnungen und so- genannten Höflichkeitsanreden (Herr, Frau, usw.) sei zu verzichten. Da diese Schreibweise auf dem Zahlungsbefehl nicht eingehalten worden sei, sei dieser ungültig (act. 1B). 3.1.2. Zu diesen Vorbringen erwog die Vorinstanz, ein Schuldner sei auf dem Zahlungsbefehl klar und unzweideutig zu bezeichnen, so dass dieser eindeutig</w:t>
      </w:r>
    </w:p>
    <w:p>
      <w:r>
        <w:t>- 4 - identifiziert werden könne; eine unklare Parteibezeichnung sei nichtig. Die Ver- wendung des amtlichen Namens stelle die eindeutige Identifikation auf jeden Fall sicher. Falls die Betroffenen über die Identität der Parteien nach Treu und Glau- ben keine Zweifel hegen konnten und ihre Interessen nicht beeinträchtigt worden seien, werde aber selbst eine fehlerhafte Parteibezeichnung geheilt (u.H.a. BGer 5A_34/2016 vom 30. Mai 2016). Daran, dass über die Identität keine Zweifel be- stehen würden, könne weder die Reihenfolge der Nennung von Vor- und Nach- name noch die Trennung mit oder ohne Komma etwas ändern. Entsprechend sei das Betreibungsamt – entgegen dem Beschwerdeführer – nicht gehalten, dessen Nachnamen vor seinem Vornamen zu nennen und diese durch ein Komma oder einen anderen "Datenfeldtrenner" abzutrennen. Die Identität des Beschwerdefüh- rers stehe somit aufgrund der vom Betreibungsamt verwendeten Namensnen- nung unzweideutig fest und das Argument des Beschwerdeführers verfange nicht (act. 6 E. III./2.). 3.1.3. Der Beschwerdeführer macht vor Obergericht geltend (vgl. act. 7), die Vorinstanz verwende absichtlich seinen falschen Namen, was zu einem betrüge- rischen Vorteil für sie führe. Die "Mechanismen im Hintergrund" dürften bekannt sein (act. 7 S. 2). In der Folge wiederholt der Beschwerdeführer über mehr als ei- ne Seite hinweg wortwörtlich seinen vor Vorinstanz vorgetragenen Standpunkt (act. 7 S. 3 f.). Schliesslich trägt der Beschwerdeführer vor, es gehe nicht darum, dass keine Zweifel an seiner Identität bestehen würden. Vielmehr gehe es darum, dass das Betreibungsamt willkürlich die Reihenfolge seines Namens vertauscht und auf einen Datenfeldtrenner verzichtet habe. Dies lasse sich nur so erklären, dass im Hintergrund "betrügerische Prozesse und Buchungen ablaufen" würden (act. 7 S. 4). 3.2. Mit diesen Vorbringen wiederholt der Beschwerdeführer zu einem grossen Teil wortwörtlich seinen bereits vor Vorinstanz vorgetragenen Standpunkt, was den Anforderungen an eine hinreichende Beschwerdebegründung nicht genügt. Zudem hält er den mit Verweisen auf die Rechtsprechung untermauerten, zutref- fenden vorinstanzlichen Erwägungen, wonach es auf die Reihenfolge bzw. Ver- wendung von einem "Datenfeldtrenner" nicht ankomme, sofern über die Identität</w:t>
      </w:r>
    </w:p>
    <w:p>
      <w:r>
        <w:t>- 5 - des Betriebenen keine Zweifel bestünden, nichts entgegen. Insbesondere macht er nicht geltend, dass über seine Identität in irgendeiner Form Zweifel bestehen würden, und zu einer solchen Annahme besteht auch kein Anlass, wie er nicht zu- letzt mit seinem eigenen Verhalten zeigt, denn aufgrund der Publikation im Amts- blatt des Kantons Zürich schien ihm doch ohne weiteres klar zu sein, dass sich die Betreibung gegen ihn richtet. Wenn er geltend macht, es gehe ihm auch gar nicht darum, dass keine Zweifel über seine Identität bestünden, sondern darum, dass das Betreibungsamt "willkürlich" die Reihenfolge seines Namens vertauscht und keine "Datenfeldtrenner" verwendet habe, so bleibt unklar, was er aus diesen Umständen zu seinen Gunsten ableiten will bzw. inwiefern ihm dies zum Nachteil gereichte. Die Beschwerdebegründung genügt damit insgesamt den oben ge- nannten Anforderungen nicht (vgl. E. 2.). Selbst wenn sich der Beschwerdeführer einlässlich mit dem vorinstanzlichen Entscheid auseinander gesetzt hätte, wäre seiner diesbezüglichen Rüge im Übrigen inhaltlich kein Erfolg beschieden gewe- sen (vgl. auch BGer 5A_441/2023 vom 31. August 2023, E. 2.). 3.3. Vor Vorinstanz bemängelte der Beschwerdeführer sodann die sich auf dem Zahlungsbefehl befindliche "mitgedruckte Unterschrift" (act. 1B S. 3). Die Vorin- stanz setzte sich mit diesen Vorbringen auseinander und verneinte, dass der Zah- lungsbefehl ungültig sei (act. 6 E. III./3). Dazu äussert sich der Beschwerdeführer in seiner Beschwerde nicht (act. 7). Entsprechend braucht vorliegend auf diesen Punkt nicht mehr eingegangen zu werden. 3.4. Nach dem Gesagten ist auf die Beschwerde nicht einzutreten. 4. Das Verfahren vor der oberen kantonalen Aufsichtsbehörde in Schuldbetrei- bungs- und Konkurssachen ist grundsätzlich kostenlos (Art. 20a Abs. 2 Ziff. 5 SchKG). Bei bös- oder mutwilliger Prozessführung können indes Bussen bis zu Fr. 1'500.– sowie Gebühren und Auslagen auferlegt werden (Art. 20a Abs. 2 Ziff. 5 SchKG). Der Tatbestand der Mutwilligkeit kann insbesondere dann erfüllt sein, wenn eine Partei Tatsachen wider besseres Wissen als wahr behauptet, wenn sie ihre Stellungnahme auf einen Sachverhalt abstützt, von dem sie bei der ihr zumutbaren Sorgfalt wissen müsste, dass er unrichtig ist, oder wenn sie an ei- ner offensichtlich gesetzeswidrigen Auffassung festhält. Darauf ist der Beschwer-</w:t>
      </w:r>
    </w:p>
    <w:p>
      <w:r>
        <w:t>- 6 - deführer im Hinblick auf allfällige zukünftige Beschwerden gleichen Inhalts hinzu- weisen. Eine Parteientschädigung ist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