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PS230174 vom 4. Dezember 2023</w:t>
      </w:r>
    </w:p>
    <w:p>
      <w:r>
        <w:t>ZH Obergericht, 2023-12-04, DE</w:t>
      </w:r>
    </w:p>
    <w:p>
      <w:r>
        <w:rPr>
          <w:b/>
        </w:rPr>
        <w:t xml:space="preserve">Quelle: </w:t>
      </w:r>
      <w:r>
        <w:t>https://mcp.opencaselaw.ch/entscheid/zh_obergericht_PS230174</w:t>
      </w:r>
    </w:p>
    <w:p>
      <w:r>
        <w:t>FR: ZH_OBERGERICHT PS230174 du 4 décembre 2023</w:t>
      </w:r>
    </w:p>
    <w:p>
      <w:r>
        <w:t>IT: ZH_OBERGERICHT PS230174 del 4 dicembre 2023</w:t>
      </w:r>
    </w:p>
    <w:p>
      <w:pPr>
        <w:pStyle w:val="Heading2"/>
      </w:pPr>
      <w:r>
        <w:t>Erwägungen</w:t>
      </w:r>
    </w:p>
    <w:p>
      <w:r>
        <w:rPr>
          <w:b/>
        </w:rPr>
        <w:t>E. 8</w:t>
      </w:r>
    </w:p>
    <w:p>
      <w:r>
        <w:t>Juni 2020 E. 3.b.). 2.3. Wird wie im vorliegenden Fall (einzig) die formelle Feststellung der Nich- tigkeit eines Entscheids verlangt, so bedarf es keines formellen Rechtsmittels, sondern es kann eine solche Feststellung – sofern die zuständige Rechtsmittelbe- hörde im Rahmen ihrer Amtstätigkeit Kenntnis vom Mangel erhält – ohne Einhal- tung einer Frist und grundsätzlich auch von Amtes wegen getroffen werden (OGer ZH PS210050 vom 3. Mai 2021 E. 3.3.). Als mögliche Nichtigkeitsgründe fallen vorab die funktionelle und sachliche Unzuständigkeit der entscheidenden Behörde sowie krasse Verfahrensfehler in Betracht (vgl. dazu ausführlich in OGer ZH PS210050 vom 3. Mai 2021 E. 3.4. f., u.a. mit Verweis auf BGer 5A_734/2012 vom 31. Mai 2013, E. 3.4; vgl. auch BGer 5A_576/2010 vom 18. November 2010, E. 3.1 und 3.2). Dabei hat nicht jeder behauptete Mangel einer Verfügung deren Nichtigkeit zur Folge. Aus Gründen der Rechtssicherheit ist die Nichtigkeit, d.h. die absolute Unwirksamkeit einer Verfügung, vielmehr nur ausnahmsweise anzuneh- men. Nach der sogenannten Evidenztheorie wird eine Verfügung nur als nichtig erklärt, wenn der ihr anhaftende Mangel besonders schwer und offensichtlich oder zumindest leicht erkennbar ist, was in Art. 22 Abs. 1 SchKG dahingehend konkre- tisiert wird, dass ein Verstoss gegen Vorschriften, die im öffentlichen Interesse und von am Verfahren nicht beteiligten Personen erlassen worden sind, vorliegen muss (vgl. BGer 5A_444/2023 vom 31. August 2023 E. 2.3.2). Ansonsten ist ein fehlerhafter Hoheitsakt nicht nichtig, sondern lediglich anfechtbar (vgl. BGer 5A_744/2022 vom 9. Juni 2023 E. 3.3; BGE 147 III 226 E. 3.1.2.). 3.1.1. Die Beschwerdeführerin sieht einen Nichtigkeitsgrund darin, dass die Vor- instanz das rechtliche Gehör erheblich verletzt habe. Das Betreibungsamt habe</w:t>
      </w:r>
    </w:p>
    <w:p>
      <w:r>
        <w:t>- 5 - bestätigt, dass der Beschwerdegegner 2 sich wegen Urkundenfälschung strafbar gemacht habe, indem er das bereits von beiden Beschwerdegegnern unterzeich- nete Betreibungsbegehren ohne Zustimmung der Beschwerdegegnerin 1 geän- dert und sich selbst als ihr Vertreter bezeichnet habe. Sie – die Beschwerdeführe- rin – habe in Ziffer 10 ihrer Beschwerdeschrift vom 30. Januar 2023 ausführlich dargelegt, weshalb dieses Verhalten strafrechtlich relevant sei. Dies sei von den Beschwerdegegnern nicht bestritten worden. Indem die Vorinstanz die Rüge igno- riert habe, liege eine erhebliche Verletzung des Anspruchs auf rechtliches Gehör vor (act. 26 Rz. 8 ff.). 3.1.2. Entgegen der Ansicht der Beschwerdeführerin hat die Vorinstanz Ziffer 10 der Beschwerde vom 30. Januar 2023 nicht "ignoriert", sondern die vorgebrachte Rüge (strafrechtliches Verhalten) geprüft und verneint (vgl. act. 25 E. 5 mit Ver- weis auf act. 1 S. 3 – 4). Dass das Betreibungsbegehren gefälscht worden sei, haben weder das Betreibungsamt bestätigt noch die Beschwerdegegner aner- kannt. Der vorinstanzlichen Erwägung, wonach die Beschwerdegegnerin 1 sich mit den Handlungen des Beschwerdegegners 2 und damit mit dem Vertretungsver- hältnis auf dem gemeinsamen Betreibungsbegehren vom 17. Januar 2023 ausdrü- cklich einverstanden erklärt habe, hält die Beschwerdeführerin nichts Stichhaltiges entgegen (vgl. act. 25 E. 5). Die Einverständniserklärung ergibt sich im Übrigen aus der Eingabe der Beschwerdegegner vom 19. Juni 2023 (act. 13), die aufgrund des Untersuchungsgrundsatzes gemäss § 83 Abs. 3 GOG i.V.m. Art. 229 Abs. 3 ZPO – und entgegen der Ansicht der Beschwerdeführerin (vgl. act. 26 Rz. 30) – zu Recht berücksichtigt wurde. Dass die Vorinstanz daraufhin ein strafrechtliches Verhalten, das (wohl) zur Nichtigkeit des Betreibungsbegehrens resp. -verfahrens geführt hätte, verneinte, ist nicht zu beanstanden. Ein Nichtigkeitsgrund liegt nicht vor. In diesem Zusammenhang ist anzumerken, dass die Zulassung eines Ver- tretungsverhältnisses in einem Betreibungsverfahren, das erst nachträglich geneh- migt wurde (vgl. dahingehende Rüge act. 26 Rz. 30), ebenfalls keinen Nichtigkeits- grund für das Betreibungsverfahren darstellt (vgl. dazu BSK SchKG I-KOFMEL EH- RENZELLER, 3. Auflage, Art. 67 N 23). Aufgrund der Genehmigung des Vertretungs- verhältnisses gehen folglich auch die Vorbringen der Beschwerdeführerin im Zu-</w:t>
      </w:r>
    </w:p>
    <w:p>
      <w:r>
        <w:t>- 6 - sammenhang mit der Vertretungsvermutung gemäss Art. 166 ZGB an der Sache vorbei (vgl. in dieser Hinsicht act. 26 Rz. 21 ff. und damit ebenfalls zusammenhän- gend Rz. 36). 3.2. Auf die völlig unsubstantiierte Behauptung, die Vorinstanz habe die Be- schwerdegegner bevorzugt und der angefochtene Entscheid sei durch Vetternwirt- schaft beeinflusst worden (act. 26 Rz. 3 ff.), ist nicht einzugehen. Im Zusammen- hang mit den Vorbringen betreffend Ersatzrichter lic. iur. Bannwart (act. 26 Rz. 32) wurde bereits in früheren Beschwerdeverfahren der Beschwerdeführerin erwogen, dass lic. iur. Bannwart mit Beschluss der Verwaltungskommission des Oberge- richts des Kantons Zürich vom 24. Mai 2023 per sofort (befristet bis zum 31. Au- gust 2025) zum vollamtlichen Ersatzrichter für das Bezirksgericht Zürich ernannt wurde, was der Beschwerdeführerin seit Längerem bekannt ist (vgl. dazu ausführ- lich OGer ZH PS230127 vom 27. September 2023 E. 4.3.2.; OGer ZH PS230166 vom 16. November 2023 E. 6.2.). Zum Zeitpunkt des Erlasses des angefochtenen Entscheids am 25. August 2023 bestand damit weder innerhalb noch ausserhalb des Spruchkörpers ein hierarchisches Verhältnis, weshalb kein Anschein der feh- lenden Unabhängigkeit besteht. Dass der Beschwerdeführerin der Beschluss der Verwaltungskommission nicht vorliegen soll (act. 26 Rz. 35), ändert an der Gültig- keit der Ernennung von lic. iur. Bannwart zum vollamtlichen Ersatzrichter nichts. Ob die Ernennung unzulässig war, wie es die Beschwerdeführerin an gleicher Stelle vorbringt, kann im Rahmen eines aufsichtsrechtlichen Beschwerdeverfah- rens nach Art. 17 ff. SchKG nicht überprüft werden. 4. Zusammenfassend liegen keine Nichtigkeitsgründe vor, und die Be- schwerde ist abzuweisen. 5.1. Der Beschwerdeführerin ist bekannt, dass das Verfahren vor den kanto- nalen Aufsichtsbehörden in Schuldbetreibungs- und Konkurssachen grundsätzlich kostenlos ist, dass aber bei bös- oder mutwilliger Prozessführung Bussen bis zu CHF 1'500.– sowie Gebühren und Auslagen auferlegt werden können (Art. 20a Abs. 2 Ziff. 5 SchKG; statt vieler OGer ZH PS190227 vom 31. Januar 2020 E. 3). Auch für Beschwerden mit wiederholt gleichartigen und bereits beurteilten Vor-</w:t>
      </w:r>
    </w:p>
    <w:p>
      <w:r>
        <w:t>- 7 - bringen oder für formell mangelhafte Eingaben wurden ihr verschiedentlich Kos- ten angedroht (etwa OGer ZH PS200067 vom 6. April 2020). 5.2. Ihre Beschwerde stützt die Beschwerdeführerin einzig auf völlig unsub- stantiierte (Vetternwirtschaft), aktenwidrige (angeblich anerkanntes strafrechtli- ches Verhalten der Beschwerdegegner) und bereits mehrfach abgeurteilte (Er- nennung von lic. iur. Bannwart zum vollamtlichen Ersatzrichter) Vorbringen. Mit Blick darauf sind für dieses Verfahren androhungsgemäss Kosten zu erheben, die auf CHF 500.– festzusetzen sind. Parteientschädigungen dürfen nicht zugespro- 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