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PS230165 vom 28. September 2023</w:t>
      </w:r>
    </w:p>
    <w:p>
      <w:r>
        <w:t>ZH Obergericht, 2023-09-28, DE</w:t>
      </w:r>
    </w:p>
    <w:p>
      <w:r>
        <w:rPr>
          <w:b/>
        </w:rPr>
        <w:t xml:space="preserve">Quelle: </w:t>
      </w:r>
      <w:r>
        <w:t>https://mcp.opencaselaw.ch/entscheid/zh_obergericht_PS230165</w:t>
      </w:r>
    </w:p>
    <w:p>
      <w:r>
        <w:t>FR: ZH_OBERGERICHT PS230165 du 28 septembre 2023</w:t>
      </w:r>
    </w:p>
    <w:p>
      <w:r>
        <w:t>IT: ZH_OBERGERICHT PS230165 del 28 settembre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der Beschwerde im vollen Umfang aufschiebende Wirkung zu erteilen.</w:t>
      </w:r>
    </w:p>
    <w:p>
      <w:r>
        <w:rPr>
          <w:b/>
        </w:rPr>
        <w:t>E. 3</w:t>
      </w:r>
    </w:p>
    <w:p>
      <w:r>
        <w:t>Es sei der Beschwerdeführer die Frist zur Ergänzung der Be- schwerdebegründung bis zum 10. Oktober 2023 zu erstrecken. Alles unter Kosten- und Entschädigungsfolgen zu Lasten der Be- schwerdegegnerin." 1.3 Mit Verfügung vom 12. September 2023 wurde das Gesuch um Erstreckung der Beschwerdefrist abgewiesen. Zudem wurde der Beschwerde die aufschie- bende Wirkung einstweilen verweigert. Der Schuldnerin wurde zudem Frist ange- setzt, um für die Kosten des vorliegenden Verfahrens einen Vorschuss zu leisten (act. 8). Die vorinstanzlichen Akten wurden von Amtes wegen beigezogen (act. 11/1–19). Der Kostenvorschuss wurde innert Frist nicht geleistet. Da die Be- schwerde – wie zu zeigen ist – zurückgezogen wurde und das Verfahren abzu- schreiben ist, ist vom Ansetzen einer Nachfrist in Anwendung von Art. 101 Abs. 3 ZPO abzusehen. 1.4 Mit Eingabe vom 14. September 2023 zog die Schuldnerin die Beschwerde mit sofortiger Wirkung zurück (act. 12). 2. Das Beschwerdeverfahren ist infolge Rückzugs als erledigt abzuschreiben.</w:t>
      </w:r>
    </w:p>
    <w:p>
      <w:r>
        <w:rPr>
          <w:b/>
        </w:rPr>
        <w:t>E. 3.1</w:t>
      </w:r>
    </w:p>
    <w:p>
      <w:r>
        <w:t>Mit dem Rückzug bleibt es bei der erstinstanzlichen Regelung der Kosten- folgen.</w:t>
      </w:r>
    </w:p>
    <w:p>
      <w:r>
        <w:t>- 3 -</w:t>
      </w:r>
    </w:p>
    <w:p>
      <w:r>
        <w:rPr>
          <w:b/>
        </w:rPr>
        <w:t>E. 3.2</w:t>
      </w:r>
    </w:p>
    <w:p>
      <w:r>
        <w:t>Ausgangsgemäss sind die Prozesskosten des Beschwerdeverfahrens der Schuldnerin aufzuerlegen. Die Spruchgebühr ist in Anwendung von Art. 61 GebV SchKG i.V.m. Art. 52 lit. b GebV SchKG auf Fr. 200.– festzusetzen.</w:t>
      </w:r>
    </w:p>
    <w:p>
      <w:r>
        <w:rPr>
          <w:b/>
        </w:rPr>
        <w:t>E. 3.3</w:t>
      </w:r>
    </w:p>
    <w:p>
      <w:r>
        <w:t>Parteientschädigungen für das Beschwerdeverfahren sind nicht zuzuspre- chen; der Schuldnerin nicht, weil sie unterliegt und der Gläubigerin nicht, da ihr im Beschwerdeverfahren kein Aufwand entstanden ist, der zu entschädigen wäre.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