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PS230140 vom 12. September 2023</w:t>
      </w:r>
    </w:p>
    <w:p>
      <w:r>
        <w:t>ZH Obergericht, 2023-09-12, DE</w:t>
      </w:r>
    </w:p>
    <w:p>
      <w:r>
        <w:rPr>
          <w:b/>
        </w:rPr>
        <w:t xml:space="preserve">Quelle: </w:t>
      </w:r>
      <w:r>
        <w:t>https://mcp.opencaselaw.ch/entscheid/zh_obergericht_PS230140</w:t>
      </w:r>
    </w:p>
    <w:p>
      <w:r>
        <w:t>FR: ZH_OBERGERICHT PS230140 du 12 septembre 2023</w:t>
      </w:r>
    </w:p>
    <w:p>
      <w:r>
        <w:t>IT: ZH_OBERGERICHT PS230140 del 12 settembre 2023</w:t>
      </w:r>
    </w:p>
    <w:p>
      <w:pPr>
        <w:pStyle w:val="Heading2"/>
      </w:pPr>
      <w:r>
        <w:t>Erwägungen</w:t>
      </w:r>
    </w:p>
    <w:p>
      <w:r>
        <w:rPr>
          <w:b/>
        </w:rPr>
        <w:t>E. 2</w:t>
      </w:r>
    </w:p>
    <w:p>
      <w:r>
        <w:t>Die Beklagten [wohl Bezirksgericht Horgen und Betreibungsamt Wädenswil vgl. act. 1] sind seit November 2022 nicht mehr für mich zuständig […].</w:t>
      </w:r>
    </w:p>
    <w:p>
      <w:r>
        <w:rPr>
          <w:b/>
        </w:rPr>
        <w:t>E. 3</w:t>
      </w:r>
    </w:p>
    <w:p>
      <w:r>
        <w:t>Es sei mir unverzüglich den Abrechnungsbeleg an C._____ vom 2022 auszuhändigen. […]" 1.5. Die Akten des vorinstanzlichen Verfahrens wurden beigezogen (act. 1–9). Das Verfahren ist spruchreif. 2.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(vgl. OGer ZH PS110192 vom 21. Februar 2012, E. 5.1). Neue Anträge, neue Tatsachen und neue Beweismittel sind im Beschwerdeverfahren ausge- schlossen (Art. 326 ZPO). Das gilt auch im zweitinstanzlichen betreibungsrechtli- chen Beschwerdeverfahren (vgl. OGer ZH PS110019 vom 21. Februar 2011, E. 3.4).</w:t>
      </w:r>
    </w:p>
    <w:p>
      <w:r>
        <w:rPr>
          <w:b/>
        </w:rPr>
        <w:t>E. 3.1</w:t>
      </w:r>
    </w:p>
    <w:p>
      <w:r>
        <w:t>Vorab stellt die Beschwerdeführerin die Zuständigkeit der Vorinstanz und des Betreibungsamtes Wädenswil in Frage, mit der pauschalen Behauptung sie sei dort nicht mehr gemeldet. Da es sich bei der örtlichen Zuständigkeit um eine Prozessvoraussetzung handelt, die von Amtes wegen zu prüfen ist, schadet es nicht, dass der entsprechende Antrag 2 im Beschwerdeverfahren neu gestellt wurde. Da die Beschwerdeführerin im gesamten Verfahren wie auch bereits im</w:t>
      </w:r>
    </w:p>
    <w:p>
      <w:r>
        <w:t>- 4 - Rechtsöffnungsverfahren EB230011 (act. 6) als Adresse die E._____-Strasse 1 in F._____/ZH angibt und weder eine Abmeldung noch einen Wegzug belegte, lie- gen keine Anhaltspunkte für einen Wohnsitzwechsel vor. Damit besteht kein An- lass für weitere Abklärungen. Die Zuständigkeit des Betreibungsamtes ergibt sich aus Art. 48 SchKG. Als untere kantonale Aufsichtsbehörde ist das Bezirksgericht Horgen für den Betreibungskreis Wädenswil, zu welchem F._____/ZH gehört, zu- ständig (vgl. § 17 Abs. 1 in Verbindung mit dem Anhang des EG SchKG). Antrag 2 ist daher abzuweisen.</w:t>
      </w:r>
    </w:p>
    <w:p>
      <w:r>
        <w:rPr>
          <w:b/>
        </w:rPr>
        <w:t>E. 3.2</w:t>
      </w:r>
    </w:p>
    <w:p>
      <w:r>
        <w:t>Zum Abrechnungsbeleg der C._____ (Beschwerdeantrag 3) führte die Vor- instanz aus, die Beschwerdeführerin beantrage die Aushändigung des "C._____ Abrechnungsbelegs 2022" und mache Ausführungen zu einer beim hiesigen Ge- richt im Januar 2023 anhängig gemachten Beschwerde. Im vorliegenden Verfah- ren fänden sich keine Hinweise auf die Beteiligung der C._____ [Versicherungen AG], weshalb auf dieses Begehren nicht einzutreten sei (act. 11 E. 10). In ihrer Beschwerde bringt die Beschwerdeführerin vor, die Vorinstanz weigere sich ve- hement, den Abrechnungsbeleg auszuhändigen. Die Vorinstanz behaupte, dass es dazu nichts gebe. Sie verweise auf den "Shab Eintrag von Herrn G._____, Be- treibungsamt Wädenswil, vom tt.mm.2023" sowie die Lohnpfändungen von Au- gust 2022. Der Vorinstanz sei die "Shab Publikation" mit Beschwerde vom 21. Ja- nuar 2023 übergeben worden. Die Beschwerde sei aber nie bearbeitet worden (act. 12 S. 2). Aus den Ausführungen der Beschwerdeführerin wird nicht klar, weshalb die Vorinstanz über den "C._____ Abrechnungsbeleg 2022" verfügen sollte. Insbesondere ist kein Zusammenhang zwischen diesem Beleg und der Ein- reichung eines Eintrags im Schweizerischen Handelsamtsblatt (SHAB) erkennbar. Die Be-</w:t>
      </w:r>
    </w:p>
    <w:p>
      <w:r>
        <w:t>- 5 - schwerdeführerin reicht (neu) die im SHAB publizierte Pfändungsanzeige/- urkunde ein (act. 13/2). Daraus geht hervor, dass die C._____ AG Gläubigerin im betreffenden Betreibungsverfahren ist. Ein Abrechnungsbeleg 2022 wird indes nicht erwähnt. Die Beschwerdeführerin reicht sodann (neu) die Kopie einer Be- schwerde an die Vorinstanz vom 21. Januar 2023 ein, aus welcher hervorgeht, dass sie der Vorinstanz einen Beleg über eine Zahlung von ihr an die C._____ eingereicht habe (act. 13/3). Dass die Vorinstanz im Besitze eines "C._____ Ab- rechnungsbeleg[s] 2022" sein soll, geht daraus indes ebenfalls nicht hervor. Die entsprechenden (verspäteten) Einwendungen sind damit unbehelflich, weshalb dieser Beschwerdeantrag abzuweisen ist. Sollte die Beschwerdeführerin der Mei- nung sei, der Beleg befinde sich in den Verfahrensakten des genannten Be- schwerdeverfahrens (wohl Geschäfts-Nr. CB230004), stünde es ihr frei, bei der Vorinstanz ein entsprechendes Akteneinsichtsgesuch zu stellen.</w:t>
      </w:r>
    </w:p>
    <w:p>
      <w:r>
        <w:rPr>
          <w:b/>
        </w:rPr>
        <w:t>E. 3.3</w:t>
      </w:r>
    </w:p>
    <w:p>
      <w:r>
        <w:t>Weiter stört sich die Beschwerdeführerin in ihrer Beschwerdeschrift daran, dass die Vorinstanz ihr vorwerfe, "alle Akten selber erstellt" zu haben. Insbeson- dere behaupte die Vorinstanz, sie hätte die Vollmacht des Treuhänders, D._____ Treuhand, gefälscht (act. 12 S. 2). Dem vorinstanzlichen Entscheid ist nichts Ent- sprechendes zu entnehmen. Die Vorinstanz warf der Beschwerdeführerin weder vor, die Akten selber erstellt, noch eine Vollmacht gefälscht zu haben, sie erwog einzig, die Beschwerdeführerin habe die Beschwerdeschrift selber verfasst und in eigenem Namen eingereicht, weshalb nicht ersichtlich sei, wieso das Gericht das "D._____ Treuhandbüro" über das Verfahren informieren müsse (act. 11 E. 6). Inwiefern diese Erwägungen nicht zutreffen sollte, legt die Beschwerdeführerin nicht dar und ist auch nicht ersichtlich. Wie bereits die Vorinstanz erwog, steht es der Beschwerdeführerin frei, das "D._____ Treuhandbüro" selbst zu informieren. Die Beschwerde ist auch in diesem Punkt unbegründet.</w:t>
      </w:r>
    </w:p>
    <w:p>
      <w:r>
        <w:rPr>
          <w:b/>
        </w:rPr>
        <w:t>E. 3.4</w:t>
      </w:r>
    </w:p>
    <w:p>
      <w:r>
        <w:t>Sodann macht die Beschwerdeführerin Ausführungen zu verschiedenen Staatshaftungsklagen sowie Kostenvorschüssen im Zusammenhang mit diesen Klagen. Dafür ist die Aufsichtsbehörde nicht zuständig (vgl. Art. 5 SchKG), wes- halb auch diesbezüglich auf die Beschwerde nicht einzutreten ist.</w:t>
      </w:r>
    </w:p>
    <w:p>
      <w:r>
        <w:t>- 6 -</w:t>
      </w:r>
    </w:p>
    <w:p>
      <w:r>
        <w:rPr>
          <w:b/>
        </w:rPr>
        <w:t>E. 3.5</w:t>
      </w:r>
    </w:p>
    <w:p>
      <w:r>
        <w:t>In ihrer Beschwerdeschrift erwähnt die Beschwerdeführerin schliesslich (neu) eine Lohnpfändung (act. 12 S. 3). Sofern sie sich gegen diese Pfändung wehren wollte, hätte dies bei der unteren kantonalen Aufsichtsbehörde zu erfol- gen. Ein entsprechendes Verfahren scheint bei der Vorinstanz pendent zu sein (Geschäfts-Nr. CB230019). Die Kammer als obere kantonale Aufsichtsbehörde wäre dafür nicht zuständig.</w:t>
      </w:r>
    </w:p>
    <w:p>
      <w:r>
        <w:rPr>
          <w:b/>
        </w:rPr>
        <w:t>E. 4</w:t>
      </w:r>
    </w:p>
    <w:p>
      <w:r>
        <w:t>Das Beschwerdeverfahren ist grundsätzlich kostenlos (Art. 20a Abs. 2 Ziff. 5 SchKG und Art. 61 Abs. 2 GebV SchKG). Parteientschädigungen sind nicht zuzu- sprechen (Art. 62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