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PS230128 vom 17. August 2023</w:t>
      </w:r>
    </w:p>
    <w:p>
      <w:r>
        <w:t>ZH Obergericht, 2023-08-17, DE</w:t>
      </w:r>
    </w:p>
    <w:p>
      <w:r>
        <w:rPr>
          <w:b/>
        </w:rPr>
        <w:t xml:space="preserve">Quelle: </w:t>
      </w:r>
      <w:r>
        <w:t>https://mcp.opencaselaw.ch/entscheid/zh_obergericht_PS230128</w:t>
      </w:r>
    </w:p>
    <w:p>
      <w:r>
        <w:t>FR: ZH_OBERGERICHT PS230128 du 17 août 2023</w:t>
      </w:r>
    </w:p>
    <w:p>
      <w:r>
        <w:t>IT: ZH_OBERGERICHT PS230128 del 17 agosto 2023</w:t>
      </w:r>
    </w:p>
    <w:p>
      <w:pPr>
        <w:pStyle w:val="Heading2"/>
      </w:pPr>
      <w:r>
        <w:t>Erwägungen</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w:t>
      </w:r>
    </w:p>
    <w:p>
      <w:r>
        <w:rPr>
          <w:b/>
        </w:rPr>
        <w:t>E. 3</w:t>
      </w:r>
    </w:p>
    <w:p>
      <w:r>
        <w:t>Die Schuldnerin hat am 11. Juli 2023 den Betrag von CHF 10'220.– beim Obergericht des Kantons Zürich – unter anderem für die Forderung der Gläubige- rin (vgl. dazu act. 2 Rz. 9) – hinterlegt (act. 4/2 und act. 7). Im Weiteren hat die Schuldnerin beim Konkursamt C._____ zur Deckung der Kosten des Konkursge-</w:t>
      </w:r>
    </w:p>
    <w:p>
      <w:r>
        <w:t>- 3 - richts und des Konkursverfahrens bis zu einer allfälligen Konkursaufhebung CHF 2'600.– sichergestellt (act. 4/4). Damit hat die Schuldnerin innert der Rechtsmittelfrist nachgewiesen, dass sie den geschuldeten Betrag zuhanden der Gläubigerin im Sinne von Art. 174 Abs. 2 Ziff. 2 SchKG hinterlegt hat. 4.1. Wird die Zahlung erst nach der Konkurseröffnung geleistet, bleibt zu prü- fen, ob die Zahlungsfähigkeit der Schuldnerin glaubhaft ist. Zahlungsfähigkeit be- deutet, dass ausreichend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Bloss vorübergehende Zahlungs- schwierigkeiten lassen die Schuldnerin somit noch nicht als zahlungsunfähig er- 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ihre Behauptungen allein nicht. Sie muss die Angaben durch objektive Anhaltspunkte untermauern, sodass das Gericht den Eindruck erhält, diese seien zutreffend, ohne das Gegen- teil ausschliessen zu müssen (BGE 132 III 715 E. 3.1.; BGE 132 III 140 E. 4.1.2.; BGer 5A_297/2012 E. 2.3.). Sind andere Betreibungen im Stadium der Konkurs- androhung oder Pfändungsankündigung vorhanden, gilt ein strengerer Massstab (vgl. OGer ZH PS210224 vom 28. Januar 2022 m.w.H.). Der Konkurs wurde über die Schuldnerin als Einzelunternehmerin (vgl. act. 8) und damit als natürliche Person eröffnet, die für alle Verbindlichkeiten mit ihrem gesamten Vermögen haftet. Eine Trennung zwischen geschäftlichen Schulden bzw. Guthaben und solchen des persönlichen Bedarfs gibt es daher nicht, weshalb die Prüfung der Zahlungsfähigkeit auch die Lebenshaltungskosten</w:t>
      </w:r>
    </w:p>
    <w:p>
      <w:r>
        <w:t>- 4 - der Schuldnerin mitberücksichtigen muss. Die Einzelunternehmerin mit Sitz in Zü- rich ist seit 4. Mai 2017 im Handelsregister eingetragen (act. 6/5). 4.2. Wesentlichen Aufschluss über das Zahlungsverhalten und die finanzielle Lage einer Schuldnerin gibt insbesondere das Betreibungsregister. Im Recht liegt ein aktueller Auszug des Betreibungsamtes C._____-…-…, der den Zeitraum bis</w:t>
      </w:r>
    </w:p>
    <w:p>
      <w:r>
        <w:rPr>
          <w:b/>
        </w:rPr>
        <w:t>E. 7</w:t>
      </w:r>
    </w:p>
    <w:p>
      <w:r>
        <w:t>Juli 2023 umfasst (act. 4/5). Nebst der vorliegenden Konkursforderung wurde die Schuldnerin 22 Mal betrieben. Der Gesamtbetrag sämtlicher Betreibungen be- läuft sich auf rund CHF 25'900.–. Aktuell sind noch fünf Betreibungen offen, wobei bei vier der Konkurs angedroht und bei einer bislang der Zahlungsbefehl zuge- stellt und kein Rechtsvorschlag erhoben wurde. Frühere Konkurseröffnungen sind keine registriert. Die Schuldnerin anerkennt sämtliche noch offenen Forderungen im Um- fang von CHF 9'677.45 (vgl. act. 2 Rz. 8 f.). Der von der Schuldnerin überwiesene Betrag von CHF 10'220.– würde zwar zur Deckung dieser Forderungen ausrei- chen. Da mit der Überweisung an das Obergericht lediglich die Konkursforderung tatsächlich getilgt ist, ist von noch offenen Betreibungsschulden im Umfang von CHF 9'677.45 auszugehen. Abgesehen von Hypothekarschulden (act. 2 Rz. 11) äussert sich die Schuldnerin nicht über weitere Schulden. 4.3. Aus dem eingereichten Vermögensausweis der Schuldnerin geht hervor, dass sie aktuell über ein Vermögen von rund CHF 2.9 Mio. verfügt, wovon auf Privatkonti rund CHF 187'000.– als flüssige Mittel verfügbar sind (act. 4/8 S. 2 und S. 6). Selbst ohne Berücksichtigung des an das Obergericht – abzüglich der Kon- kursforderung – überwiesenen Betrags von CHF 9'683.95, welcher der Schuldne- rin zurück zu überweisen ist, stehen der Schuldnerin genügend finanzielle Mittel zur Verfügung, um die Betreibungsschulden zu bezahlen. 4.4. Die Schuldnerin bringt vor, mit der Vermietung von drei Grundstücken Mietzinseinnahmen von monatlich rund CHF 10'000.– zu erzielen. Zusätzlich er- halte sie eine monatliche Witwenrente von CHF 1'704.– (act. 2 Rz. 12). Mit ihren Einnahmen verbleibe ihr ein monatlicher Überschuss von CHF 6'363.– (act. 11 S. 2). Die geltend gemachten Einnahmen sind ausgewiesen (zu den Mietzinsein-</w:t>
      </w:r>
    </w:p>
    <w:p>
      <w:r>
        <w:t>- 5 - nahmen s. act. 12/2-5; zur Rente s. act. 4/12 und act. 12/5). Zu den behaupteten und glaubhaft erscheinenden Lebenshaltungskosten von monatlich rund CHF 5'800.– (s. act. 12/1) sind die in der Tabelle nicht berücksichtigen Hypothe- karzinsen betreffend die Grundstücke in C._____ [Ort] und D._____ [Ort] in Ge- samthöhe von monatlich rund CHF 2'660.– hinzuzurechnen (act. 4/9 und 4/11; die Hypothekarzinsen für die selbstbewohnte Liegenschaft wurde in der Lebenshal- tungstabelle bereits berücksichtigt, vgl. act. 4/10 und act. 12/1). Selbst wenn be- treffend die Liegenschaften mit weiteren Ausgaben zu rechnen ist (Nebenkosten, Stockwerkeigentümerbeiträge [vgl. act. 4/5 S. 3 letzte Betreibung], Rückstellun- gen etc.), ist davon auszugehen, dass die Schuldnerin mit dem belegten Über- schuss von über CHF 3'000.– pro Monat auch die aufgeführten unklaren Positio- nen wird decken können. 4.5. Zusammenfassend kann bei der Schuldnerin zum jetzigen Zeitpunkt nicht von einer Illiquidität gesprochen werden. Vielmehr erscheint glaubhaft, dass die Schuldnerin aufgrund des Todes ihres Ehemannes im Jahr 2019 ihren finanziellen Verpflichtungen und administrativen Aufgaben nicht mehr nachkam und dadurch in Zahlungsverzug geriet und betrieben wurde (s. dazu act. 2 Rz. 15). Der Um- stand, dass vor dem Jahr 2020 keine Betreibungen registriert sind, spricht ebenso dafür, wie derjenige, dass es sich bei den Betreibungsforderungen um ver- gleichsweise kleine Beträge handelt, die – trotz der belegten hohen Liquidität der Schuldnerin – nicht beglichen wurden resp. werden konnten. Ihre Zahlungsfähig- keit ist damit glaubhaft im Sinne von Art. 174 Abs. 2 SchKG. Damit erweist sich die Beschwerde als begründet. Die Beschwerde ist gutzuheissen und das angefochtene Urteil aufzuheben. 5. Obschon die Beschwerde gutgeheissen wird, sind die Gerichtsgebühren beider Instanzen der Schuldnerin aufzuerlegen, weil sie das Verfahren durch ihre Zahlungssäumnis verursacht hat. Parteientschädigungen sind nicht zuzuspre- 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