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PS230122 vom 8. August 2023</w:t>
      </w:r>
    </w:p>
    <w:p>
      <w:r>
        <w:t>ZH Obergericht, 2023-08-08, DE</w:t>
      </w:r>
    </w:p>
    <w:p>
      <w:r>
        <w:rPr>
          <w:b/>
        </w:rPr>
        <w:t xml:space="preserve">Quelle: </w:t>
      </w:r>
      <w:r>
        <w:t>https://mcp.opencaselaw.ch/entscheid/zh_obergericht_PS230122</w:t>
      </w:r>
    </w:p>
    <w:p>
      <w:r>
        <w:t>FR: ZH_OBERGERICHT PS230122 du 8 août 2023</w:t>
      </w:r>
    </w:p>
    <w:p>
      <w:r>
        <w:t>IT: ZH_OBERGERICHT PS230122 del 8 agosto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Der Vollständigkeit halber ist die Schuldnerin auf Art. 195 SchKG hinzuwei- sen, wonach (frühestens nach Ende der Eingabefrist, vgl. Art. 195 Abs. 2 SchKG) die Möglichkeit eines nachträglichen Widerrufs des Konkurses durch den Kon- kursrichter besteht, wenn nachgewiesen wird, dass sämtliche Forderungen (also auch die, für welche noch keine Betreibung eingeleitet wurde) beglichen sind oder</w:t>
      </w:r>
    </w:p>
    <w:p>
      <w:r>
        <w:t>- 3 - von jedem Gläubiger eine schriftliche Erklärung über den Rückzug seiner Kon- kurseingabe vorliegt oder ein Nachlassvertrag zustande gekommen ist.</w:t>
      </w:r>
    </w:p>
    <w:p>
      <w:r>
        <w:rPr>
          <w:b/>
        </w:rPr>
        <w:t>E. 4</w:t>
      </w:r>
    </w:p>
    <w:p>
      <w:r>
        <w:t>Ausgangsgemäss sind die Kosten des Beschwerdeverfahrens von Fr. 750.– der Schuldnerin aufzuerlegen (Art. 106 Abs. 1 ZPO). Eine Parteientschädigung für das Beschwerdeverfahren ist nicht zuzusprechen; der Schuldnerin nicht aufgrund ihres Unterliegens, der Gläubigerin nicht mangels Umtrieben in diesem Verfahren.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