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PS230106 vom 23. Juni 2023</w:t>
      </w:r>
    </w:p>
    <w:p>
      <w:r>
        <w:t>ZH Obergericht, 2023-06-23, DE</w:t>
      </w:r>
    </w:p>
    <w:p>
      <w:r>
        <w:rPr>
          <w:b/>
        </w:rPr>
        <w:t xml:space="preserve">Quelle: </w:t>
      </w:r>
      <w:r>
        <w:t>https://mcp.opencaselaw.ch/entscheid/zh_obergericht_PS230106</w:t>
      </w:r>
    </w:p>
    <w:p>
      <w:r>
        <w:t>FR: ZH_OBERGERICHT PS230106 du 23 juin 2023</w:t>
      </w:r>
    </w:p>
    <w:p>
      <w:r>
        <w:t>IT: ZH_OBERGERICHT PS230106 del 23 giugno 2023</w:t>
      </w:r>
    </w:p>
    <w:p>
      <w:pPr>
        <w:pStyle w:val="Heading2"/>
      </w:pPr>
      <w:r>
        <w:t>Erwägungen</w:t>
      </w:r>
    </w:p>
    <w:p>
      <w:r>
        <w:rPr>
          <w:b/>
        </w:rPr>
        <w:t>E. 1</w:t>
      </w:r>
    </w:p>
    <w:p>
      <w:r>
        <w:t>Das Konkursgericht des Bezirksgerichtes Zürich eröffnete mit Urteil vom 25. Mai 2023 über die Beschwerdeführerin den Konkurs für eine Forderung der Beschwerdegegnerin von Fr. 46'872.95 nebst Zins zu 5 % seit 1. Januar 2023 zu- züglich Fr. 1'050.-- Bearbeitungsgebühren sowie Fr. 225.90 Betreibungskosten (act. 6). Dagegen erhob die Beschwerdeführerin mit Eingabe vom 12. Juni 2023 rechtzeitig Beschwerde, beantragte die Aufhebung des Konkurses und stellte ein Gesuch um Erteilung der aufschiebenden Wirkung (act. 2). Zudem leistete die Beschwerdeführerin bereits den für die Kosten des Beschwerdeverfahrens vom Obergericht usanzgemäss erhobenen Vorschuss von Fr. 750.-- (act. 4/10). Mit Verfügung vom 13. Juni 2023 wurde der Beschwerde einstweilen die aufschie- bende Wirkung zuerkannt (act. 11).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3.1 Die Beschwerdeführerin macht zunächst geltend, die Konkursforderung ein- schliesslich Zinsen und Kosten beim Betreibungsamt zuhanden der Beschwerde- gegnerin bezahlt zu haben (act. 2 S. 4 und S. 6). Zum Nachweis legt sie einen Betreibungsregisterauszug des Betreibungsamtes Zürich 5 vom 8. Juni 2023 vor, woraus hervorgeht, dass die Konkursforderung im Betreibungsverfahren Nr. … vollständig bezahlt wurde (act. 4/4). Zudem bezahlte die Beschwerdeführerin am 12. Juni 2023 beim Konkursamt Aussersihl-Zürich Fr. 1'200.-- (act. 4/9). Dieser</w:t>
      </w:r>
    </w:p>
    <w:p>
      <w:r>
        <w:t>- 3 - Betrag reicht aus, um im Falle der Gutheissung der Beschwerde die zu erwarten- den Konkurskosten (Gebühren und Auslagen, inkl. des erstinstanzlichen Kon- kursgerichts) zu decken (vgl. act. 10). Damit hat die Beschwerdeführerin den Konkursaufhebungsgrund der Tilgung im Sinne von Art. 174 Abs. 2 Ziff. 1 SchKG durch Urkunden nachgewiesen. In diesem Fall hat die Beschwerdeführerin über- 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w:t>
      </w:r>
    </w:p>
    <w:p>
      <w:r>
        <w:t>- 4 - 3.3. Die Beschwerdeführerin ist als GmbH seit dem tt.mm.2018 im Handelsregis- ter des Kantons Zürich eingetragen und bezweckt die Erbringung von Dienstleis- tungen im …-bereich sowie …-entwicklung, den Handel mit … Produkten aller Art sowie das Erbringen der damit zusammenhängenden Dienstleistungen (act. 5). Zu ihrer Zahlungsfähigkeit gibt die Beschwerdeführerin im Wesentlichen an, die Mittel zur Tilgung der Schuld seien durch ein Gesellschaftsdarlehen von C._____ in der Höhe von Fr. 110'000.-- beigebracht worden. C._____ habe das Gesell- schafterdarlehen aus den Mitteln des Verkaufs der Eigentumswohnung D._____- Strasse … in E._____ per 31. Mai 2023 finanziert. Im Jahr 2020 und 2021 sei es infolge der Corona-Massnahmen immer wieder zu Verzögerungen und Absagen von Aufträgen als auch zu Zahlungsverzögerungen der Auftraggeber gekommen, was starke Auswirkungen auf die Liquidität gehabt und zu Zahlungsverzögerun- gen geführt habe. Mitte 2022 habe die Beschwerdeführerin beschlossen, sich zu redimensionieren. Der Personalbestand sei per Ende 2022 reduziert und die Per- sonaladministration inklusive PK und Sozialversicherungen sei an einen Dienst- leister ausgelagert worden. Zusätzlich sei für Mitte 2023 zur Sicherung der Liqui- dität eine Kapitalerhöhung durch den Gesellschafter geplant. Mit den aktuellen Aufträgen und dem Gesellschafterdarlehen von C._____, welches nach Aufhe- bung des Konkurses mittels Kapitalerhöhung in Stammkapital umgewandelt wer- de, sei die zukünftige Liquidität sichergestellt (act. 2 S. 4 f.). 3.4. Wesentlichen Aufschluss über das Zahlungsverhalten und die finanzielle Lage eines Schuldners vermittelt insbesondere das Betreibungsregister. Der von der Beschwerdeführerin eingereichte Betreibungsregisterauszug des Betrei- bungsamtes Zürich 5 (act. 4/4) weist per 8. Juni 2023 keine Verlustscheine und 14 Betreibungen im Gesamtbetrag von Fr. 94'757.40 aus, wovon (inklusive der Konkursforderung) elf Betreibungen über Fr. 89'771.20 durch Bezahlung an Be- treibungsamt/Gläubiger erledigt worden sind. Im Übrigen bestehen derzeit noch drei offene Betreibungen im Gesamtbetrag von Fr. 4'986.20, in welchen allerdings Rechtsvorschlag erhoben worden ist. Demnach bestehen aktuell keine offenen und durchsetzbaren Betreibungen. Darüber hinaus besteht gemäss eingereichter Kreditorenliste aktuell lediglich eine offene Verbindlichkeit in Höhe von Fr. 660.-- (act. 4/8/1).</w:t>
      </w:r>
    </w:p>
    <w:p>
      <w:r>
        <w:t>- 5 - 3.5. Des Weiteren reicht die Beschwerdeführerin den notariell beglaubigten Kaufvertrag vom 27. Februar 2023 über den Verkauf der genannten Eigentums- wohnung in E._____ zum Preis von Fr. 1.7 Mio. (act. 4/5), einen Kreditkarten- Kontoauszug der PostFinance vom 10. Juni 2023 mit einem Saldo von Fr. 37'669.55 zu Gunsten der Beschwerdeführerin (act. 4/6), eine Debitorenliste per 11. Juni 2023 mit zwei offenen Forderungen in Höhe von insgesamt Fr. 11'514.20 (act. 4/8/2) sowie die Bilanz und Erfolgsrechnung für das Jahr 2022 mit einem Gewinn von Fr. 879.56 (act. 4/7) ein. 3.6. Vor diesem Hintergrund ist glaubhaft, dass die vorliegende Konkurseröff- nung kaum auf eine ständige Illiquidität der Beschwerdeführerin zurückzuführen war, zumal die Beschwerdeführerin offenbar in der Lage war, alle in Betreibung gesetzten und durchsetzbaren Forderungen zu tilgen. Zudem ist glaubhaft, dass die Beschwerdeführerin mit den flüssigen Mitteln und den genannten Aktiven in der Lage ist, den laufenden Verbindlichkeiten nachzukommen. Somit erscheint insgesamt die wirtschaftliche Lebensfähigkeit der Beschwerdeführerin wahr- scheinlicher als das Gegenteil. Daher gilt die Beschwerdeführerin nach dem Ge- sagten zur Zeit als zahlungsfähig im Sinne von Art. 174 Abs. 2 SchKG.</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Prozessentschädigungen sind mangels entstandener Umtriebe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