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PS230083 vom 12. September 2023</w:t>
      </w:r>
    </w:p>
    <w:p>
      <w:r>
        <w:t>ZH Obergericht, 2023-09-12, DE</w:t>
      </w:r>
    </w:p>
    <w:p>
      <w:r>
        <w:rPr>
          <w:b/>
        </w:rPr>
        <w:t xml:space="preserve">Quelle: </w:t>
      </w:r>
      <w:r>
        <w:t>https://mcp.opencaselaw.ch/entscheid/zh_obergericht_PS230083</w:t>
      </w:r>
    </w:p>
    <w:p>
      <w:r>
        <w:t>FR: ZH_OBERGERICHT PS230083 du 12 septembre 2023</w:t>
      </w:r>
    </w:p>
    <w:p>
      <w:r>
        <w:t>IT: ZH_OBERGERICHT PS230083 del 12 settembre 2023</w:t>
      </w:r>
    </w:p>
    <w:p>
      <w:pPr>
        <w:pStyle w:val="Heading2"/>
      </w:pPr>
      <w:r>
        <w:t>Erwägungen</w:t>
      </w:r>
    </w:p>
    <w:p>
      <w:r>
        <w:rPr>
          <w:b/>
        </w:rPr>
        <w:t>E. 2</w:t>
      </w:r>
    </w:p>
    <w:p>
      <w:r>
        <w:t>Für das Beschwerdeverfahren nach Art. 18 SchKG sind die Regelungen von Art. 319 ff. ZPO anwendbar (Art. 20a Abs. 3 SchKG i.V.m. § 18 EG SchKG i.V.m. § 84 GOG). Mit der Beschwerde können die unrichtige Rechtsanwendung und die offensichtlich unrichtige Feststellung des Sachverhaltes geltend gemacht werden (Art. 320 ZPO). Dabei sind konkrete Beschwerdeanträge zu stellen und zu begründen. Die Beschwerde führende Partei hat sich mit der Begründung des vorinstanzlichen Entscheides im Einzelnen auseinander zu setzen und anzuge- ben, an welchen Mängeln der angefochtene Entscheid ihrer Ansicht nach leidet (Art. 321 ZPO; vgl. im Einzelnen auch BK ZPO, STERCHI, 2012, Art. 321 N 15 ff.). Bei Parteien ohne anwaltliche Vertretung wird an diese Erfordernisse ein weniger strenger Massstab angelegt. Bei fehlender Auseinandersetzung bzw. Begründung ist jedoch auf die Beschwerde ohne Weiteres nicht einzutreten (ZR 110 Nr. 80; OGer ZH PS110192 vom 21. Februar 2012 E. 5.1). Neue Anträge, neue Tatsa- chen und neue Beweismittel (Noven) sind im Beschwerdeverfahren ausgeschlos- sen (Art. 326 ZPO). 3.1. In der Betreibung Nr. … focht die Beschwerdeführerin bereits den Zah- lungsbefehl an (vgl. OGer ZH PS230050 vom 5. April 2023). Wie in jenem Be- schwerdeverfahren stellt sich die Beschwerdeführerin auch im vorliegenden Ver- fahren sinngemäss auf den Standpunkt, dass aufgrund der nicht behobenen Dis- krepanz in der Schreibweise der Parteibezeichnung (A'._____) und ihres behaup- teten amtlichen Namens (A'._____) in der Pfändungsankündigung von zwei un-</w:t>
      </w:r>
    </w:p>
    <w:p>
      <w:r>
        <w:t>- 4 - terschiedlichen Personen auszugehen sei (vgl. act. 9 S. 3; vgl. auch act. 1 S. 1 1. Absatz). 3.2. Lediglich aus der – angeblich – falschen Schreibweise des amtlichen Namens der Beschwerdeführerin kann nicht ohne Weiteres auf eine mangelhafte Pfändungsanzeige resp. Betreibung geschlossen werden. Vielmehr müsste die Schreibweise derart falsch sein, dass sie als nicht klar und unzweideutig bezeich- net werden muss und dadurch Zweifel über die tatsächliche Person des Schuld- ners aufkommen würden. Erst dann wäre von Nichtigkeit auszugehen (vgl. zum Ganzen BSK SCHKG-KOFMEL EHRENZELLER, 3. Auflage 2021, Art. 67 N 17 und 28 m.H.a. BGE 102 III 63 sowie BGE 120 III 11). Dass vorliegend ein solcher Fall vorliegt, bringt die Beschwerdeführerin nicht ansatzweise vor. Das Komma sowie die umgekehrte Reihenfolge der Vor- und Nachnamen lassen keine Zweifel an der Identität der Beschwerdeführerin aufkommen. Zu berücksichtigen ist ferner, dass die Schuldnerbezeichnung gemäss Art. 67 Abs. 1 Ziff. 2 SchKG auch den Wohnort beinhaltet, der vorliegend in jedem Fall die B._____-Strasse …, C._____, ist (vgl. Kopfzeile act. 9, Rubrum in act. 8 sowie Pfändungsankündigung act. 2/1). Mit anderen Worten liegen keinerlei Zweifel vor, dass es sich bei der be- triebenen Person A._____ um die Beschwerdeführerin, die als A'._____ auftritt, handelt. Darüber hinaus reicht die Beschwerdeführerin auch keinen tauglichen Beleg ein, woraus der von ihr behauptete amtliche Name hervorgehen würde. Entsprechend ist auch auf den zweiten Beschwerdeantrag betreffend Schreibweise ihres "korrekten amtlichen" Namens nicht weiter einzugehen. 4.1. Ferner stört sich die Beschwerdeführerin – wie auch bereits im Zusam- menhang mit dem Zahlungsbefehl im Betreibungsverfahren Nr. … – daran, dass die Pfändungsankündigung in Abweichung von Art. 6 VFRR lediglich eine mitge- druckte Faksimile-Paraphe statt einer eigenhändigen oder gestempelten Unter- schrift enthalte und entsprechend einen ungültigen Entwurf darstelle (act. 9 S. 4 ff.). 4.2. Wie bereits im Urteil der Kammer vom 5. April 2023 erwogen, hat das Bundesgericht ausdrücklich festgehalten, dass sich die Zulassung von Faksimile-</w:t>
      </w:r>
    </w:p>
    <w:p>
      <w:r>
        <w:t>- 5 - stempeln in Art. 6 VFRR auch auf digitalisierte Unterschriften bezieht (vgl. OGer ZH PS230050 vom 5. April 2023 E. 4.3. mit Verweis auf BGer 5A_873/2022 vom 23. Januar 2023 E. 2.3). Dies hat auch die Vorinstanz im angefochtenen Urteil erwogen (act. 8 S. 4). Inwiefern diese Erwägung nicht korrekt sein soll, zeigt die Beschwerdeführerin nicht auf. Dass im vorliegenden Fall ein tatsächlicher Miss- brauch beim Gebrauch der digitalisierten Unterschrift vorlag, konnte die Be- schwerdeführerin mit ihren abstrakten und pauschalen Behauptungen (act. 9 S. 4 ff.) nicht aufzeigen. Daran kann auch eine Strafanzeige der Beschwerdefüh- rerin nichts ändern, zumal eine solche – wie im Urteil der Kammer vom 5. April 2023 bereits erwogen – lediglich ihre persönliche Rechtsauffassung enthält (was sie im Übrigen selbst zu vertreten scheint, wenn sie geltend macht, das Fehlver- halten des Betreibungsamtes sei aus ihrer Sicht strafbar, vgl. act. 9 S. 8). Folglich erweist sich die Beschwerde auch in diesem Punkt als unbegründet. 5.1. Die Vorinstanz hat im angefochtenen Entscheid eine Entscheidgebühr von CHF 500.– festgesetzt und diese der Beschwerdeführerin auferlegt (act. 8 Dispositiv-Ziffer 2). Sie hat dies damit begründet, dass die Beschwerdeführerin bei der unteren kantonalen Aufsichtsbehörde wiederholt Beschwerde in gleicher Sache mit grösstenteils identischen Anträgen geführt und dabei klar beantwortete Fragen erneut aufgeworfen habe. Angesichts der klaren Rechtslage bestehe bei einer derartigen Prozessführung kein konkretes Rechtschutzinteresse mehr (act. 8 S. 6). Die Beschwerdeführerin bringt dagegen vor, die Vorinstanz sei nicht zu hören, falls sie die Kostenauflage auf nicht rechtskräftige Urteile stütze. Ihr Be- schwerdeverfahren im Zusammenhang mit dem Zahlungsbefehl sei vor Bundes- gericht hängig (act. 9 S. 8). 5.2. Die Verfahren vor den kantonalen Aufsichtsbehörden sind grundsätzlich kostenlos (Art. 20a Abs. 2 Ziff. 5 Satz 1 SchKG). Bei böswilliger oder mutwilliger Prozessführung können einer Partei oder ihrem Vertreter Bussen bis zu CHF 1'500.– sowie Gebühren und Auslagen auferlegt werden (Art. 20a Abs. 2 Ziff. 5 Satz 2 SchKG). Als bös- oder mutwillige Beschwerdeführung gelten reine Verschleppungsmanöver, Handeln wider Treu und Glauben oder Rechtsmiss-</w:t>
      </w:r>
    </w:p>
    <w:p>
      <w:r>
        <w:t>- 6 - brauch, indem eine Partei – wie die Vorinstanz korrekt erwog – unbekümmert um ein konkretes Rechtsschutzinteresse alle Rechtsbehelfe unnütz ausschöpft. Das Festhalten an aussichtslosen Rechtsstandpunkten kann mutwillig i.S.v. Abs. 2 Ziff. 5 sein, weil die Sach- und Rechtslage eindeutig ist (BSK SCHKG- COMETTA/MÖCKLI, a.a.O., Art. 20a N 26; BGer 5A_576/2010 vom 18. November 2010 E. 4.2). 5.3. Entgegen der Ansicht der Beschwerdeführerin hätte die Vorinstanz nicht einen Entscheid des Bundesgerichts im Zusammenhang mit dem Zahlungsbefehl abwarten müssen, um dieser die Kosten aufzuerlegen. Selbst wenn das Be- schwerdeverfahren der Beschwerdeführerin im Zusammenhang mit dem Zah- lungsbefehl noch nicht rechtskräftig erledigt ist, kann mutwillige Beschwerdefüh- rung im Sinne von Art. 20a Abs. 2 Ziff. 5 SchKG (bereits dann) vorliegen, wenn eine Beschwerde von vornherein als aussichtslos betrachtet werden muss, weil die Sach- und Rechtslage eindeutig ist. Sowohl die Rügen im Zusammenhang mit ihrer Namensführung (vgl. dazu die Begründung in E. 3. vorstehend) als auch je- ne mit der Faksimile-Unterzeichnung (vgl. dazu die Begründung in E. 4. vorste- hend) sind unter diesen Umständen von vornherein als aussichtslos zu bezeich- nen. Dass die Vorinstanz der Beschwerdeführerin die Entscheidgebühr auferlegt hat, ist damit nicht zu beanstanden. Allerdings erscheint die Entscheidgebühr in Anbetracht des Streitwerts von rund CHF 200.– (vgl. act. 2/1 und act. 11/5) als zu hoch und ist auf CHF 150.– herunterzusetzen.</w:t>
      </w:r>
    </w:p>
    <w:p>
      <w:r>
        <w:rPr>
          <w:b/>
        </w:rPr>
        <w:t>E. 6</w:t>
      </w:r>
    </w:p>
    <w:p>
      <w:r>
        <w:t>Zusammenfassend ist das vorinstanzliche Urteil hinsichtlich der Kosten aufzuheben, die Entscheidgebühr neu auf CHF 150.– festzusetzen und der Be- schwerdeführerin aufzuerlegen. Im Übrigen ist die Beschwerde abzuweisen.</w:t>
      </w:r>
    </w:p>
    <w:p>
      <w:r>
        <w:t>- 7 -</w:t>
      </w:r>
    </w:p>
    <w:p>
      <w:r>
        <w:rPr>
          <w:b/>
        </w:rPr>
        <w:t>E. 7</w:t>
      </w:r>
    </w:p>
    <w:p>
      <w:r>
        <w:t>Auch wenn sich die Beschwerde betreffend Hauptanliegen (Namensfüh- rung und Faksimile-Unterschrift) als chancenlos erweist, dringt die Beschwerde- führerin in Bezug auf die Kostenfolgen teilweise durch. Entsprechend rechtfertigt es sich nicht, ihr (auch) Kosten für das zweitinstanzliche Verfahren aufzuerlegen. Die Kammer behält sich allerdings vor, der Beschwerdeführerin bei zukünftigen Eingaben ähnlicher Art Gebühren aufzuerlegen (Art. 20a Abs. 2 Ziff. 5 2. Satz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