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PS220170 vom 11. Oktober 2022</w:t>
      </w:r>
    </w:p>
    <w:p>
      <w:r>
        <w:t>ZH Obergericht, 2022-10-11, DE</w:t>
      </w:r>
    </w:p>
    <w:p>
      <w:r>
        <w:rPr>
          <w:b/>
        </w:rPr>
        <w:t xml:space="preserve">Quelle: </w:t>
      </w:r>
      <w:r>
        <w:t>https://mcp.opencaselaw.ch/entscheid/zh_obergericht_PS220170</w:t>
      </w:r>
    </w:p>
    <w:p>
      <w:r>
        <w:t>FR: ZH_OBERGERICHT PS220170 du 11 octobre 2022</w:t>
      </w:r>
    </w:p>
    <w:p>
      <w:r>
        <w:t>IT: ZH_OBERGERICHT PS220170 del 11 ottobre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Kosten sowohl des erst- als auch des zweitinstanzlichen Verfahrens sind der Schuldnerin aufzuerlegen, auch wenn der Konkurs letztlich aufgehoben werden kann. Dies, da es in der Verantwortung der – sozusagen bis zur letzten Minute säumigen – Schuldnerin liegt, das Konkursgericht über Umstände, welche gegen eine Konkurseröffnung sprechen, zu informieren (OGer ZH PS110095 vom</w:t>
      </w:r>
    </w:p>
    <w:p>
      <w:r>
        <w:rPr>
          <w:b/>
        </w:rPr>
        <w:t>E. 6</w:t>
      </w:r>
    </w:p>
    <w:p>
      <w:r>
        <w:t>Juli 2011 E. 2.2 = ZR 110/2011 Nr. 79). Ebenso wird die Schuldnerin die Kos- ten des Konkursamtes zu tragen haben. Eine Parteientschädigung ist ihr keine zuzusprechen. Im Übrigen ist auch dem Gläubiger mangels Umtrieben im vorlie- genden Verfahren keine Parteientschädigung zuzusprechen.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