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PS220146 vom 16. September 2022</w:t>
      </w:r>
    </w:p>
    <w:p>
      <w:r>
        <w:t>ZH Obergericht, 2022-09-16, DE</w:t>
      </w:r>
    </w:p>
    <w:p>
      <w:r>
        <w:rPr>
          <w:b/>
        </w:rPr>
        <w:t xml:space="preserve">Quelle: </w:t>
      </w:r>
      <w:r>
        <w:t>https://mcp.opencaselaw.ch/entscheid/zh_obergericht_PS220146</w:t>
      </w:r>
    </w:p>
    <w:p>
      <w:r>
        <w:t>FR: ZH_OBERGERICHT PS220146 du 16 septembre 2022</w:t>
      </w:r>
    </w:p>
    <w:p>
      <w:r>
        <w:t>IT: ZH_OBERGERICHT PS220146 del 16 settembre 2022</w:t>
      </w:r>
    </w:p>
    <w:p>
      <w:pPr>
        <w:pStyle w:val="Heading2"/>
      </w:pPr>
      <w:r>
        <w:t>Erwägungen</w:t>
      </w:r>
    </w:p>
    <w:p>
      <w:r>
        <w:rPr>
          <w:b/>
        </w:rPr>
        <w:t>E. 13</w:t>
      </w:r>
    </w:p>
    <w:p>
      <w:r>
        <w:t>September 2022 liess die Schuldnerin weitere Unterlagen einreichen (vgl. act. 12/1-21, act. 14, act. 16/1-3 und act. 17) und gab eine weitere Eingabe mit Beilagen zur Post (vgl. act. 18-20). Die Schuldnerin hat den Kostenvorschuss für das Beschwerdeverfahren bereits geleistet (vgl. act. 11). Das Verfahren ist spruchreif. Der Gläubigerin ist noch das Doppel der Beschwerdeschrift (act. 2) zur Kenntnisnahme zuzustellen.</w:t>
      </w:r>
    </w:p>
    <w:p>
      <w:r>
        <w:t>- 3 - 2.1 Gemäss Art. 174 Abs. 2 SchKG kann die Konkurseröffnung im Beschwerde- verfahren aufgehoben werden, wenn die Schuldnerin mit der Einlegung der Be- schwerde ihre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 scheid ergangen sind. Jedoch muss die Begründung samt Belegen vollständig in- nert der zehntägigen Beschwerdefrist erfolgen (Art. 321 ZPO). Da es sich bei der Beschwerdefrist um eine gesetzliche Frist handelt, ist die Gewährung einer Fris- terstreckung bzw. einer Nachfrist ausgeschlossen (Art. 144 Abs. 1 ZPO). Die Schuldnerin hatte Frist bis 31. August 2022, um die Sendung mit dem angefochtenen Konkurseröffnungsurteil abzuholen. Da sie dies nicht tat, wurde diese der Vorinstanz zurückgeschickt (vgl. act. 7/8 i.V.m. act. 7/11). Da die Schuldnerin aufgrund der Zustellung der Vorladung zur Konkursverhandlung am 6. Juli 2022 (act. 7/5 i.V.m. act. 7/7) vom Konkursverfahren Kenntnis hatte, gilt ihr das an die Vorinstanz zurückgeschickte Konkurseröffnungsurteil als am siebten Tag der Abholfrist, also am 31. August 2022, zugestellt (vgl. Art. 138 Abs. 3 lit. a ZPO). Die 10-tägige Beschwerdefrist der Schuldnerin lief daher am Montag, 12. September 2022, ab. Darauf wurde die Schuldnerin bereits mit Verfügung vom 5. September 2022 von der Kammer hingewiesen (vgl. act. 9). Die von der Schuldnerin nach Fristablauf eingereichten Eingaben und Unterlagen (vgl. act. 16- 20) können daher nicht mehr berücksichtigt werden. 2.2 Die Schuldnerin belegt die Hinterlegung von Fr. 943.30 am 9. September 2022 bei der Obergerichtskasse (act. 14). Aus der entsprechenden Bestätigung des Konkursamtes Altstetten-Zürich (act. 16/2-3) geht sodann hervor, dass die Schuldnerin zwar die Kosten des Konkursgerichts und des Konkursamtes mit ei- ner Zahlung von Fr. 1'000.– sichergestellt hat. Dies aber erst am 13. September 2022 und damit nach Ablauf der Beschwerdefrist. Die Schuldnerin hat den Kon- kurshinderungsgrund der Hinterlegung somit nicht rechtzeitig nachgewiesen. Da- mit scheitert eine Aufhebung der Konkurseröffnung bereits an dieser Vorausset-</w:t>
      </w:r>
    </w:p>
    <w:p>
      <w:r>
        <w:t>- 4 - zung. Die Zahlungsfähigkeit der Schuldnerin ist nicht mehr zu prüfen. Die Be- schwerde der Schuldnerin ist abzuweisen. Es bleibt bei der Konkurseröffnung vom 23. August 2022. Damit fällt der von der Schuldnerin hinterlegte Betrag vollumfänglich in die Konkursmasse und ist dem Konkursamt zu überweisen. 3. Die Kosten beider Instanzen sind der Schuldnerin aufzuerlegen. Sie hat so- wohl das erstinstanzliche als auch das zweitinstanzliche Verfahren veranlasst, weil sie ihre Schuld erst nach Konkurseröffnung beglich. Die Kosten für das Be- schwerdeverfahren sind auf Fr. 750.– festzusetzen (vgl. Art. 61 Abs. 1 i.V.m. Art. 52 lit. b GebV SchKG) und mit dem von der Schuldnerin geleisteten Kosten- vorschuss zu verrechnen. Der Gläubigerin ist mangels entstandener Umtriebe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