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PS220133 vom 19. Dezember 2022</w:t>
      </w:r>
    </w:p>
    <w:p>
      <w:r>
        <w:t>ZH Obergericht, 2022-12-19, DE</w:t>
      </w:r>
    </w:p>
    <w:p>
      <w:r>
        <w:rPr>
          <w:b/>
        </w:rPr>
        <w:t xml:space="preserve">Quelle: </w:t>
      </w:r>
      <w:r>
        <w:t>https://mcp.opencaselaw.ch/entscheid/zh_obergericht_PS220133</w:t>
      </w:r>
    </w:p>
    <w:p>
      <w:r>
        <w:t>FR: ZH_OBERGERICHT PS220133 du 19 décembre 2022</w:t>
      </w:r>
    </w:p>
    <w:p>
      <w:r>
        <w:t>IT: ZH_OBERGERICHT PS220133 del 19 dicembre 2022</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w:t>
      </w:r>
    </w:p>
    <w:p>
      <w:r>
        <w:t>- 3 -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3.1. Die Vorinstanz erwog, da die Beschwerdeführerin im Wesentlichen die in Betreibung gesetzte Forderung bestreite, sei auf die Beschwerde mangels sachlicher Zuständigkeit nicht einzutreten (Art. 17 Abs. 1 und Art. 20a Abs. 3 SchKG i.V.m. § 18 EG SchKG, § 83 Abs. 3 GOG und Art. 59 Abs. 2 lit. b ZPO). Auch für die Überprüfung angeblicher Verfahrensfehler sowohl im der Betreibung vorangegangenen Forderungsprozess als auch im Rechtsöffnungsverfahren sei die angerufene Aufsichtsbehörde sachlich nicht zuständig. Weitere Einwände in Bezug auf das Betreibungsverfahren oder dessen Fortsetzung auf dem Weg des Konkurses bringe die Beschwerdeführerin nicht vor. Ebenso wenig sei gestützt auf ihre Vorbringen ersichtlich, inwieweit die Handlungen des Betreibungsamtes aufsichtsrechtlich zu beanstanden wären. Insbesondere sei die Betreibung gegen eine GmbH nach unbestritten erteilter Rechtsöffnung (Urteile des Bezirksgerichts Zürich vom 2. Mai 2022 und des Obergerichts des Kantons Zürich RT220089 vom</w:t>
      </w:r>
    </w:p>
    <w:p>
      <w:r>
        <w:rPr>
          <w:b/>
        </w:rPr>
        <w:t>E. 5</w:t>
      </w:r>
    </w:p>
    <w:p>
      <w:r>
        <w:t>Juli 2022) und nach Eingang des Fortsetzungsbegehrens auf dem Weg des Konkurses mittels Konkursandrohung fortzusetzen (Art. 39 Abs. 1 Ziff. 9 i.V.m. Art. 88 und 159 SchKG). Es lägen auch keine Anhaltspunkte für eine rechtsmiss- bräuchliche Betreibung vor, was von Amtes wegen zu beachten wäre (act. 6 E. 3.2).</w:t>
      </w:r>
    </w:p>
    <w:p>
      <w:r>
        <w:t>- 4 - 3.2. Mit diesen Erwägungen setzt sich die Beschwerdeführerin nicht auseinan- der. Sie legt nicht einmal in rudimentärer Weise dar, inwiefern die Vorinstanz ihrer Auffassung nach das Recht unrichtig angewendet oder den Sachverhalt unzutref- fend festgestellt haben soll. Vielmehr wiederholt sie in ihrer Beschwerde unter dem Titel "Begründung" wortwörtlich ihren bereits vor Vorinstanz vorgetragenen Standpunkt. So bestreitet sie erneut den Bestand der in Betreibung gesetzten Forderung und macht Ausführungen zum Forderungsprozess und zum Rechtsöff- nungsverfahren (vgl. act. 7 S. 2 f.). Dies ohne jegliche Bezugnahme auf den an- gefochtenen Entscheid. Damit vermag die Beschwerdeführerin auch die für Laien herabgesetzten minimalen Anforderungen an die Begründung einer Beschwerde nicht zu erfüllen. Entsprechend ist auf die Beschwerde nicht einzutreten. 4. Das Beschwerdeverfahren vor den kantonalen Aufsichtsbehörden ist kosten- los (Art. 20a Abs. 2 Ziff. 5 SchKG; Art. 61 Abs. 2 lit. a GebV SchKG); Parteient- schädigungen werden nicht zugesprochen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