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PS220128 vom 19. August 2022</w:t>
      </w:r>
    </w:p>
    <w:p>
      <w:r>
        <w:t>ZH Obergericht, 2022-08-19, DE</w:t>
      </w:r>
    </w:p>
    <w:p>
      <w:r>
        <w:rPr>
          <w:b/>
        </w:rPr>
        <w:t xml:space="preserve">Quelle: </w:t>
      </w:r>
      <w:r>
        <w:t>https://mcp.opencaselaw.ch/entscheid/zh_obergericht_PS220128</w:t>
      </w:r>
    </w:p>
    <w:p>
      <w:r>
        <w:t>FR: ZH_OBERGERICHT PS220128 du 19 août 2022</w:t>
      </w:r>
    </w:p>
    <w:p>
      <w:r>
        <w:t>IT: ZH_OBERGERICHT PS220128 del 19 agosto 2022</w:t>
      </w:r>
    </w:p>
    <w:p>
      <w:pPr>
        <w:pStyle w:val="Heading2"/>
      </w:pPr>
      <w:r>
        <w:t>Erwägungen</w:t>
      </w:r>
    </w:p>
    <w:p>
      <w:r>
        <w:rPr>
          <w:b/>
        </w:rPr>
        <w:t>E. 4</w:t>
      </w:r>
    </w:p>
    <w:p>
      <w:r>
        <w:t>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Der Beschwerdeführerin ist ebenfalls bekannt, dass ihr bei weiteren formell völlig unzureichenden und in der Sache unberechtigten Beschwerden Kosten auferlegt würden (vgl. etwa OGer ZH PS200001 vom 10. Januar 2020, E. 12; OGer ZH PS190227 vom 31. Januar 2020). Wie die vorstehenden Erwägungen zeigen, fehlt es der Beschwerde erneut an jeder Auseinandersetzung mit dem angefoch- tenen Entscheid. Deshalb sind der Beschwerdeführerin androhungsgemäss Kos- ten aufzuerlegen, wobei die Entscheidgebühr für das zweitinstanzliche Beschwer- deverfahren auf Fr. 100.– festzusetzen ist. Parteientschädigungen dürfen in die- 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