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PS220122 vom 22. Juli 2022</w:t>
      </w:r>
    </w:p>
    <w:p>
      <w:r>
        <w:t>ZH Obergericht, 2022-07-22, DE</w:t>
      </w:r>
    </w:p>
    <w:p>
      <w:r>
        <w:rPr>
          <w:b/>
        </w:rPr>
        <w:t xml:space="preserve">Quelle: </w:t>
      </w:r>
      <w:r>
        <w:t>https://mcp.opencaselaw.ch/entscheid/zh_obergericht_PS220122</w:t>
      </w:r>
    </w:p>
    <w:p>
      <w:r>
        <w:t>FR: ZH_OBERGERICHT PS220122 du 22 juillet 2022</w:t>
      </w:r>
    </w:p>
    <w:p>
      <w:r>
        <w:t>IT: ZH_OBERGERICHT PS220122 del 22 luglio 2022</w:t>
      </w:r>
    </w:p>
    <w:p>
      <w:pPr>
        <w:pStyle w:val="Heading2"/>
      </w:pPr>
      <w:r>
        <w:t>Erwägungen</w:t>
      </w:r>
    </w:p>
    <w:p>
      <w:r>
        <w:rPr>
          <w:b/>
        </w:rPr>
        <w:t>E. 1.1</w:t>
      </w:r>
    </w:p>
    <w:p>
      <w:r>
        <w:t>Die Schuldnerin und Beschwerdeführerin (fortan Schuldnerin) ist seit dem tt. Januar 2021 im Handelsregister des Kantons Zürich eingetragen. Gemäss Handelsregister bezweckt sie die … [Zweck] (act. 8).</w:t>
      </w:r>
    </w:p>
    <w:p>
      <w:r>
        <w:rPr>
          <w:b/>
        </w:rPr>
        <w:t>E. 1.2</w:t>
      </w:r>
    </w:p>
    <w:p>
      <w:r>
        <w:t>Mit Urteil vom 12. Juli 2022, 11.00 Uhr, eröffnete das Konkursgericht des Bezirksgerichts Zürich (fortan Vorinstanz) den Konkurs über die Schuldnerin für folgende Forderung der Gläubigerin und Beschwerdegegnerin (fortan Gläubigerin; act. 7/9 = act. 4 = act. 6 S. 1): CHF 5'300.00 Forderung 84.95 Zins zu 5 % seit 17.03.2022 bis 12.07.2022 CHF 175.50 ohne Zins CHF 146.60 Betreibungskosten CHF 5'707.05 Total</w:t>
      </w:r>
    </w:p>
    <w:p>
      <w:r>
        <w:rPr>
          <w:b/>
        </w:rPr>
        <w:t>E. 1.3</w:t>
      </w:r>
    </w:p>
    <w:p>
      <w:r>
        <w:t>Mit Beschwerde vom 20. Juli 2022 (Datum Poststempel) beantragte die Schuldnerin rechtzeitig die Aufhebung des Konkurses und stellte ein Gesuch um Erteilung der aufschiebenden Wirkung (act. 2). Sie belegt, am 18. Juli 2022 Fr. 5'721.45 bei der Obergerichtskasse hinterlegt, den vom Obergericht usanz- gemäss erhobenen Kostenvorschuss von Fr. 750.00 geleistet und Fr. 2'000.00 beim Konkursamt Wiedikon-Zürich zur Deckung der Kosten des Konkursgerichts sowie des Konkursverfahrens sichergestellt zu haben (act. 5/4-6). Die vorinstanz- lichen Akten wurden beigezogen (act. 7/1-15). Das Verfahren ist spruchreif, wobei das Gesuch der Schuldnerin um Erteilung der aufschiebenden Wirkung mit dem heutigen Entscheid obsolet wird.</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Mit der Beschwerde können aber auch Mängel des erstinstanzlichen Verfahrens – wie die nicht erfolgte oder nicht richti-</w:t>
      </w:r>
    </w:p>
    <w:p>
      <w:r>
        <w:t>- 3 - ge Vorladung zur Verhandlung des Konkursgerichts – gerügt werden. Diese sind von der Oberinstanz an erster Stelle zu prüfen (KUKO SchKG-Diggelmann, 2. A., Basel 2014, Art. 174 N 7).</w:t>
      </w:r>
    </w:p>
    <w:p>
      <w:r>
        <w:rPr>
          <w:b/>
        </w:rPr>
        <w:t>E. 2.2</w:t>
      </w:r>
    </w:p>
    <w:p>
      <w:r>
        <w:t>Die Schuldnerin beantragt die Aufhebung der Konkurseröffnung. Sie führt aus, keine vorgängige Anzeige zur Konkursverhandlung erhalten zu haben. Sie macht geltend, nichts von der Konkursverhandlung gewusst bzw. nicht ordnungs- gemäss zu dieser vorgeladen worden zu sein (act. 2 S. 4 f.).</w:t>
      </w:r>
    </w:p>
    <w:p>
      <w:r>
        <w:rPr>
          <w:b/>
        </w:rPr>
        <w:t>E. 3.1</w:t>
      </w:r>
    </w:p>
    <w:p>
      <w:r>
        <w:t>Eine korrekte Konkurseröffnung setzt voraus, dass den Parteien die gericht- liche Verhandlung über das Konkursbegehren rechtzeitig angezeigt wurde (Art. 168 SchKG). Die Zustellung von Vorladungen, Verfügungen und Entschei- den erfolgt durch eingeschriebene Postsendung oder auf andere Weise gegen Empfangsbestätigung (Art. 138 Abs. 1 ZPO; vgl. Art. 1 lit. c ZPO). Gemäss Art. 138 Abs. 3 lit. a ZPO gilt eine eingeschriebene Postsendung, die nicht abge- holt worden ist, am siebten Tag nach dem erfolglosen Zustellungsversuch als zu- gestellt, sofern der Adressat mit einer Zustellung rechnen musste.</w:t>
      </w:r>
    </w:p>
    <w:p>
      <w:r>
        <w:rPr>
          <w:b/>
        </w:rPr>
        <w:t>E. 3.2</w:t>
      </w:r>
    </w:p>
    <w:p>
      <w:r>
        <w:t>Aus den beigezogenen Akten der Vorinstanz ergibt sich, dass die Vorladung zur vorinstanzlichen Hauptverhandlung vom 12. Juli 2022, 10.00 Uhr, mit Ge- richtsurkunde an die Schuldnerin verschickt wurde. Die Zustellung gelang nicht, die Vorladung wurde mit dem Vermerk "Nicht abgeholt" von der Post retourniert. Gemäss handschriftlichem Vermerk auf dem Couvert wurde eine zweite Zustel- lung am 1. Juli 2022 per A-Post vorgenommen (act. 7/8). Ob diese der Schuldne- rin zuging resp. sie von der anstehenden Konkursverhandlung Kenntnis erlangt hatte, ergibt sich aus den vorinstanzlichen Akten nicht; die Schuldnerin bestreitet es (act. 2 S. 4).</w:t>
      </w:r>
    </w:p>
    <w:p>
      <w:r>
        <w:rPr>
          <w:b/>
        </w:rPr>
        <w:t>E. 3.3</w:t>
      </w:r>
    </w:p>
    <w:p>
      <w:r>
        <w:t>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w:t>
      </w:r>
    </w:p>
    <w:p>
      <w:r>
        <w:t>- 4 - muss. Die Zustellung der Konkursandrohung an die Schuldnerin durch das Be- treibungsamt begründet mit Bezug auf ein allfälliges Konkurseröffnungsverfahren beim Konkursgericht noch kein Prozessrechtsverhältnis und damit keine Pflicht der Schuldnerin, dafür zu sorgen, dass ihr gerichtliche Entscheide zugestellt wer- den können. Allein aufgrund der Konkursandrohung muss die Schuldnerin nicht jederzeit mit einer gerichtlichen Zustellung rechnen und in der Lage sein, gericht- liche Postsendungen entgegenzunehmen (ZR 104 [2005] Nr. 43; vgl. auch BGE 130 III 396 E. 1.2.3). Die Zustellungsfiktion des Art. 138 Abs. 3 lit. a ZPO greift deshalb im vorliegenden Fall nicht. Die Konkursverhandlung muss den Parteien mindestens drei Tage im Voraus an- gezeigt werden (Art. 168 SchKG). Da sich nicht nachweisen lässt, wann bzw. ob die Schuldnerin die Vorladung erhalten hat, ist davon auszugehen, dass sie nicht korrekt vorgeladen wurde und sie vom laufenden Verfahren keine Kenntnis hatte. Dies steht der Konkurseröffnung entgegen. Der angefochtene Entscheid ist des- halb wegen Verletzung des Anspruchs auf rechtliches Gehör aufzuheben.</w:t>
      </w:r>
    </w:p>
    <w:p>
      <w:r>
        <w:rPr>
          <w:b/>
        </w:rPr>
        <w:t>E. 3.4</w:t>
      </w:r>
    </w:p>
    <w:p>
      <w:r>
        <w:t>Die Schuldnerin hat die Konkursforderung samt Zinsen und Kosten hinter- legt (act. 5/4) und daneben an das Konkursamt Wiedikon-Zürich Fr. 2'000.00 (für dessen Kosten) bezahlt sowie an die Obergerichtskasse Fr. 750.00 für das Be- schwerdeverfahren geleistet (vgl. act. 5/5-6). Aus diesem Grund erübrigt sich die Einholung einer Beschwerdeantwort bzw. eine Rückweisung der Sache an die Vorinstanz. Aufgrund des damit gegebenen Konkurshinderungsgrundes der Hin- terlegung nach Art. 172 Abs. 2 Ziff. 2 SchKG ist so zu verfahren, wie wenn die Schuldnerin die Konkursforderung bereits vor dem Entscheid des Konkursgerichts Zürich getilgt hätte. Ausgangsgemäss entfällt die Prüfung der Zahlungsfähigkeit der Schuldnerin im Sinne von Art. 174 Abs. 2 SchKG.</w:t>
      </w:r>
    </w:p>
    <w:p>
      <w:r>
        <w:rPr>
          <w:b/>
        </w:rPr>
        <w:t>E. 4</w:t>
      </w:r>
    </w:p>
    <w:p>
      <w:r>
        <w:t>Die erstinstanzlichen Kosten sind der Schuldnerin aufzuerlegen, da ihre Zahlungssäumnis das Konkursverfahren verursacht hat. Hingegen fällt die zweit- instanzliche Gerichtsgebühr aufgrund des erstinstanzlichen Verfahrensfehlers ausser Ansatz. Eine Entschädigung aus der Staatskasse ist für das Rechtsmittel- verfahren mangels gesetzlicher Grundlage nicht zuzusprechen (vgl. Adrian Ur- wyler, DIKE-Komm-ZPO, N 12 zu Art. 107 ZPO m.w.H.).</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