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PS220116 vom 5. August 2022</w:t>
      </w:r>
    </w:p>
    <w:p>
      <w:r>
        <w:t>ZH Obergericht, 2022-08-05, DE</w:t>
      </w:r>
    </w:p>
    <w:p>
      <w:r>
        <w:rPr>
          <w:b/>
        </w:rPr>
        <w:t xml:space="preserve">Quelle: </w:t>
      </w:r>
      <w:r>
        <w:t>https://mcp.opencaselaw.ch/entscheid/zh_obergericht_PS220116</w:t>
      </w:r>
    </w:p>
    <w:p>
      <w:r>
        <w:t>FR: ZH_OBERGERICHT PS220116 du 5 août 2022</w:t>
      </w:r>
    </w:p>
    <w:p>
      <w:r>
        <w:t>IT: ZH_OBERGERICHT PS220116 del 5 agosto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Prozessgeschichte</w:t>
      </w:r>
    </w:p>
    <w:p>
      <w:r>
        <w:rPr>
          <w:b/>
        </w:rPr>
        <w:t>E. 1.1</w:t>
      </w:r>
    </w:p>
    <w:p>
      <w:r>
        <w:t>Mit Eingabe vom 23. Juni 2022 erklärte sich der Gesuchsteller und Be- schwerdeführer (nachstehend Beschwerdeführer) beim Einzelgericht des Be- zirksgerichtes Bülach (nachstehend Vorinstanz) für zahlungsunfähig und bean- tragte die Konkurseröffnung gemäss Art. 191 SchKG (act. 6/1). Mit Urteil vom 24. Juni 2022 wies die Vorinstanz dieses Gesuch im Wesentlichen mit der Be- gründung ab, die Insolvenzerklärung des Beschwerdeführers erscheine rechts- missbräuchlich (act. 3 = act. 5 = act. 6/6, nachfolgend zitiert als act. 5).</w:t>
      </w:r>
    </w:p>
    <w:p>
      <w:r>
        <w:rPr>
          <w:b/>
        </w:rPr>
        <w:t>E. 1.2</w:t>
      </w:r>
    </w:p>
    <w:p>
      <w:r>
        <w:t>Gegen diesen Entscheid erhebt der Beschwerdeführer am 11. Juli 2022 Be- schwerde beim Obergericht. Er verlangt, dass er persönlich anzuhören sei bzw. macht geltend, dass er durch die Vorinstanz anzuhören gewesen wäre und sinn- gemäss, dass der Entscheid der Vorinstanz aufzuheben und der Konkurs über ihn zu eröffnen sei (act. 2).</w:t>
      </w:r>
    </w:p>
    <w:p>
      <w:r>
        <w:rPr>
          <w:b/>
        </w:rPr>
        <w:t>E. 1.3</w:t>
      </w:r>
    </w:p>
    <w:p>
      <w:r>
        <w:t>Die vorinstanzlichen Akten wurden beigezogen (act. 6/1–7). Das Verfahren ist spruchreif.</w:t>
      </w:r>
    </w:p>
    <w:p>
      <w:r>
        <w:rPr>
          <w:b/>
        </w:rPr>
        <w:t>E. 2</w:t>
      </w:r>
    </w:p>
    <w:p>
      <w:r>
        <w:t>Prozessuale Vorbemerkungen</w:t>
      </w:r>
    </w:p>
    <w:p>
      <w:r>
        <w:rPr>
          <w:b/>
        </w:rPr>
        <w:t>E. 2.1</w:t>
      </w:r>
    </w:p>
    <w:p>
      <w:r>
        <w:t>Die Beschwerde richtet sich gegen ein Urteil des Konkursgerichtes. Solche Entscheide können innert zehn Tagen mit Beschwerde angefochten werden (Art. 191 SchKG i.V.m. Art. 194 Abs. 1 SchKG, Art. 174 SchKG und Art. 319 ff. ZPO).</w:t>
      </w:r>
    </w:p>
    <w:p>
      <w:r>
        <w:rPr>
          <w:b/>
        </w:rPr>
        <w:t>E. 2.2</w:t>
      </w:r>
    </w:p>
    <w:p>
      <w:r>
        <w:t>Die Vorinstanz stellte dem Beschwerdeführer das angefochtene Urteil am</w:t>
      </w:r>
    </w:p>
    <w:p>
      <w:r>
        <w:rPr>
          <w:b/>
        </w:rPr>
        <w:t>E. 5</w:t>
      </w:r>
    </w:p>
    <w:p>
      <w:r>
        <w:t>Kosten- und Entschädigungsfolgen</w:t>
      </w:r>
    </w:p>
    <w:p>
      <w:r>
        <w:rPr>
          <w:b/>
        </w:rPr>
        <w:t>E. 5.1</w:t>
      </w:r>
    </w:p>
    <w:p>
      <w:r>
        <w:t>Der Beschwerdeführer unterliegt im vorliegenden Rechtsmittelverfahren vollumfänglich. Ausgangsgemäss sind ihm deshalb Prozesskosten aufzuerlegen (Art. 106 Abs. 1 ZPO). In Anwendung von Art. 52 lit. a GebV SchKG i.V.m. Art. 61 Abs. 1 GebV SchKG ist die Entscheidgebühr für das Beschwerdeverfahren auf Fr. 300.– festzusetzen.</w:t>
      </w:r>
    </w:p>
    <w:p>
      <w:r>
        <w:rPr>
          <w:b/>
        </w:rPr>
        <w:t>E. 5.2</w:t>
      </w:r>
    </w:p>
    <w:p>
      <w:r>
        <w:t>Eine Parteientschädigung ist dem unterliegenden Beschwerdeführer nicht zuzusprechen.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