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PS220102 vom 7. Juli 2022</w:t>
      </w:r>
    </w:p>
    <w:p>
      <w:r>
        <w:t>ZH Obergericht, 2022-07-07, DE</w:t>
      </w:r>
    </w:p>
    <w:p>
      <w:r>
        <w:rPr>
          <w:b/>
        </w:rPr>
        <w:t xml:space="preserve">Quelle: </w:t>
      </w:r>
      <w:r>
        <w:t>https://mcp.opencaselaw.ch/entscheid/zh_obergericht_PS220102</w:t>
      </w:r>
    </w:p>
    <w:p>
      <w:r>
        <w:t>FR: ZH_OBERGERICHT PS220102 du 7 juillet 2022</w:t>
      </w:r>
    </w:p>
    <w:p>
      <w:r>
        <w:t>IT: ZH_OBERGERICHT PS220102 del 7 luglio 2022</w:t>
      </w:r>
    </w:p>
    <w:p>
      <w:pPr>
        <w:pStyle w:val="Heading2"/>
      </w:pPr>
      <w:r>
        <w:t>Erwägungen</w:t>
      </w:r>
    </w:p>
    <w:p>
      <w:r>
        <w:rPr>
          <w:b/>
        </w:rPr>
        <w:t>E. 2</w:t>
      </w:r>
    </w:p>
    <w:p>
      <w:r>
        <w:t>Gemäss Art. 174 Abs. 1 SchKG kann ein Entscheid des Konkursgerichtes innert zehn Tagen mit Beschwerde nach ZPO angefochten werden, wobei die Parteien uneingeschränkt neue Tatsachen geltend machen können, wenn sie vor dem erstinstanzlichen Entscheid entstanden sind. Dazu gehört insbesondere, dass die Forderung des Gläubigers schon vor der Konkurseröffnung nebst Zinsen und Kosten bezahlt wurde, was nach Art. 172 Ziff. 3 SchKG zur Abweisung des Konkursbegehrens geführt hätte, wenn es dem Konkursgericht bekannt gewesen wäre. Bei einer rechtzeitigen Zahlung vor Konkurseröffnung ist der Schuldner be- freit vom Glaubhaftmachen seiner Zahlungsfähigkeit, was bei einer Tilgung erst nach Konkurseröffnung erforderlich wäre (vgl. Art. 174 Abs. 2 SchKG) (OGer ZH PS110095 vom 6. Juli 2011 E. 2.3 = ZR 110/2011 Nr. 79). Dasselbe gilt auch, wenn der Schuldner zwar die Forderung inklusive Zinsen und Kosten vor Kon- kurseröffnung tilgte, die Kosten des Konkursgerichtes und des Konkursamtes je-</w:t>
      </w:r>
    </w:p>
    <w:p>
      <w:r>
        <w:t>- 3 - doch erst danach sicherstellt (vgl. OGer ZH PS160210 vom 9. November 2016 E. II.2).</w:t>
      </w:r>
    </w:p>
    <w:p>
      <w:r>
        <w:rPr>
          <w:b/>
        </w:rPr>
        <w:t>E. 3</w:t>
      </w:r>
    </w:p>
    <w:p>
      <w:r>
        <w:t>Die Schuldnerin macht geltend und belegt, dem Betreibungsamt Uster per Valuta 8. Juni 2022 und damit vor Konkurseröffnung den Betrag von Fr. 10'000.– mit dem Zahlungszweck "B._____ Konkursandrohung …" überwiesen zu haben (act. 12 Rz 7 f., act. 13/10; vgl. ferner act. 13/9 und act. 13/11-12). Bei der Num- mer … handelt es sich um die Referenznummer der Gläubigerin (vgl. act. 8 sowie act. 9/1). Das Betreibungsamt Uster bestätigte sodann, dass abgesehen von der Vorliegenden keine weitere Konkursandrohung der Gläubigerin hängig sei (act. 13/11 und act. 14; vgl. auch act. 12 Rz 9). Folglich ist nachgewiesen, dass die zur Konkurseröffnung führende Forderung samt Zinsen und Kosten von total Fr. 7'044.05 getilgt wurde, und zwar noch vor Konkurseröffnung. Ausserdem er- bringt die Schuldnerin den Nachweis, dass sie am 17. Juni 2022 dem Konkursamt Uster Fr. 750.– einbezahlte. Gemäss der Bestätigung des Konkursamtes Uster vom 22. Juni 2022 reicht dieser Betrag, um die Kosten des Konkursamtes inklusi- ve der Kosten des vorinstanzlichen Verfahrens sicherzustellen (act. 13/13). Schliesslich bezahlte die Schuldnerin auch den Kostenvorschuss für das zweitin- stanzliche Verfahren per 17. Juni 2022 (act. 7). Somit sind die Voraussetzungen für die Aufhebung des Konkurses erfüllt. Die Beschwerde ist gutzuheissen und der angefochtene Entscheid über die Konkurseröffnung aufzuheben. Der Antrag um Erteilung der aufschiebenden Wirkung ist bei diesem Ausgang des Verfahrens als gegenstandslos geworden abzuschreiben.</w:t>
      </w:r>
    </w:p>
    <w:p>
      <w:r>
        <w:rPr>
          <w:b/>
        </w:rPr>
        <w:t>E. 4</w:t>
      </w:r>
    </w:p>
    <w:p>
      <w:r>
        <w:t>Die Kosten sowohl des erst- als auch des zweitinstanzlichen Verfahrens sind der Schuldnerin aufzuerlegen, auch wenn der Konkurs letztlich aufgehoben wer- den kann. Dies, da es in der Verantwortung des – sozusagen bis zur letzten Minu- te säumigen – Schuldners liegt, das Konkursgericht über Umstände, welche ge- gen eine Konkurseröffnung sprechen, zu informieren (OGer ZH PS110095 vom 6. Juli 2011 E. 2.2 = ZR 110/2011 Nr. 79). Ebenso wird die Schuldnerin die Kosten des Konkursamtes zu tragen haben. Eine Parteientschädigung ist ihr nicht zuzu- sprechen. Im Übrigen ist auch der Gläubigerin mangels Umtrieben im vorliegen- den Verfahren keine Parteientschädigung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