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PS220096 vom 14. Juni 2022</w:t>
      </w:r>
    </w:p>
    <w:p>
      <w:r>
        <w:t>ZH Obergericht, 2022-06-14, DE</w:t>
      </w:r>
    </w:p>
    <w:p>
      <w:r>
        <w:rPr>
          <w:b/>
        </w:rPr>
        <w:t xml:space="preserve">Quelle: </w:t>
      </w:r>
      <w:r>
        <w:t>https://mcp.opencaselaw.ch/entscheid/zh_obergericht_PS220096</w:t>
      </w:r>
    </w:p>
    <w:p>
      <w:r>
        <w:t>FR: ZH_OBERGERICHT PS220096 du 14 juin 2022</w:t>
      </w:r>
    </w:p>
    <w:p>
      <w:r>
        <w:t>IT: ZH_OBERGERICHT PS220096 del 14 giugno 2022</w:t>
      </w:r>
    </w:p>
    <w:p>
      <w:pPr>
        <w:pStyle w:val="Heading2"/>
      </w:pPr>
      <w:r>
        <w:t>Erwägungen</w:t>
      </w:r>
    </w:p>
    <w:p>
      <w:r>
        <w:rPr>
          <w:b/>
        </w:rPr>
        <w:t>E. 28</w:t>
      </w:r>
    </w:p>
    <w:p>
      <w:r>
        <w:t>E. 1.1 und OGer ZH PS220059 vom 1. April 2022, E. 1.1). 1.2 Die Vorinstanz schrieb die Beschwerde der Beschwerdeführerin mit Be- schluss vom 25. Mai 2022 (act. 25 = act. 28 [Aktenexemplar] = act. 30) als gegen- standslos ab (a.a.O., Dispositiv-Ziffer 1), trat auf das Schadenersatzbegehren über Fr. 3'000.– nicht ein (vgl. a.a.O., Dispositiv-Ziffer 2 i.V.m. S. 5 E. 3), erhob keine Kosten (vgl. a.a.O., Dispositiv-Ziffer 3) und sprach keine Parteientschädigungen zu (a.a.O., Dispositiv-Ziffer 4). 1.3 Gegen diesen Beschluss erhebt die Beschwerdeführerin mit Eingabe vom 3. Juni 2022 (act. 29) rechtzeitig (vgl. act. 25 i.V.m. act. 26/3 i.V.m. act. 29 S. 1) Beschwerde mit folgenden formellen Anträgen (a.a.O., letzte Seite): 1. Punkt 3 (recte: 4) des Dispositivs, es werden keine Parteientschädigungen zugesprochen, ist aufzuheben und wie folgt zu ersetzen: Uns sind als Entschädigung für Rechtsberatung und als Folge der missbräuchlichen Pfändungsankündigung durch das Betreibungsamt Küsnacht und Einschränkung unserer Eigentumsrechte Fr. 3'000.– Entschädigung zulasten des Kantons respektive der Eidgenossenschaft zuzusprechen. 2. Eventualiter sei die Verfügung der Vorinstanz vom 25.5.22 aufzuheben und die Angelegenheit zur Neubeurteilung an die Vorinstanz zurückzuweisen.</w:t>
      </w:r>
    </w:p>
    <w:p>
      <w:r>
        <w:t>- 3 - 3. Sämtliche Kosten gehen zulasten der Eidgenossenschaft respektive des Kantons Zürich. 1.4 Die vorinstanzlichen Akten wurden von Amtes wegen beigezogen (vgl. act. 1-26). Von der Einholung einer Beschwerdeantwort und einer Vernehmlas- sung kann abgesehen werden (vgl. § 18 EG SchKG i.V.m. § 84 GOG i.V.m. Art. 322 und Art. 324 ZPO). Das Verfahren ist spruchreif. 2. 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 verfahren ausgeschlossen (Art. 326 ZPO). Das gilt auch im zweitinstanzlichen be- treibungsrechtlichen Beschwerdeverfahren (vgl. OGer ZH PS190042 vom 27. März 2019, E. 2; BGer 5A_605/2011 vom 8. November 2011, E. 3.2). Begründen bedeutet aufzeigen, inwiefern der angefochtene Entscheid als fehlerhaft erachtet wird. Die Begründung muss hinreichend genau und eindeutig sein, um von der Beschwerdeinstanz mühelos verstanden werden zu können. Dies setzt voraus, dass die Beschwerdeführerin im Einzelnen die vorinstanzlichen Erwägungen bezeichnet, die sie anficht, und die Aktenstücke nennt, auf denen ih- re Kritik beruht (BGer 5A_438/2012 vom 27. August 2012, E. 2.2). An juristische Laien werden in dieser Hinsicht zwar keine allzu strengen Anforderungen gestellt. Es genügt aber auf jeden Fall nicht, bloss auf die Vorakten zu verweisen, pau- schale Kritik am vorinstanzlichen Entscheid zu üben oder das zu wiederholen, was bereits vor Vorinstanz vorgebracht wurde. Auch Laien haben zumindest ru- dimentär zum Ausdruck zu bringen, weshalb der angefochtene Entscheid ihrer Ansicht nach falsch ist (sog. Begründungslast). Sind selbst diese Voraussetzun- gen nicht gegeben, wird auf eine Beschwerde nicht eingetreten (vgl. OGer ZH PS200210 vom 2. November 2020, E. 4, PS160079 vom 26. Mai 2016, E. II./3.1).</w:t>
      </w:r>
    </w:p>
    <w:p>
      <w:r>
        <w:t>- 4 - 3.1 Die Vorinstanz verstand den Antrag der Beschwerdeführerin um Entschädi- gung in der Höhe von Fr. 3'000.– sinngemäss als Staatshaftungsbegehren i.S.v. Art. 5 SchKG. Sie trat darauf im angefochtenen Beschluss mangels Zuständigkeit nicht ein (vgl. act. 28 Dispositiv-Ziffer 2 i.V.m. E. 3.2). Parteientschädigungen sprach die Vorinstanz mit Verweis auf Art. 62 Abs. 2 GebV SchKG keine zu (vgl. act. 28 Dispositiv-Ziffer 4 i.V.m. E. 4). 3.2 Mit dieser Begründung setzt sich die Beschwerdeführerin nicht auseinander. Sie bringt dazu einzig vor, bei ihrem Antrag auf Parteientschädigung gehe es in keiner Weise um ein Staatshaftungsbegehren, sondern einzig um "den Ersatz unserer Rechtsauslagen, welche die Beschwerdegegnerin mit der Lancierung der rechtsmissbräuchlichen Pfändung vom 10.1.22 verursacht" habe (vgl. act. 29 letzte Seite). Damit macht sie geltend, vor Vorinstanz kein Staatshaftungsbegeh- ren, sondern einen Antrag auf Zusprechung einer Parteientschädigung in der Höhe von Fr. 3'000.– gestellt zu haben. 3.3 Selbst wenn jedoch das Begehren der Beschwerdeführerin als Antrag auf Zusprechung einer Parteientschädigung in der Höhe von Fr. 3'000.– zu verste- hen gewesen wäre, hätte ihr die Vorinstanz zu Recht keine Parteientschädigung zugesprochen. Denn gemäss Art. 62 Abs. 2 GebV SchKG dürfen Parteientschädi- gungen im Beschwerdeverfahren nach den Artikeln 17-19 des SchKG (wie hier) nicht zugesprochen werden. Darauf hat die Vorinstanz im angefochtenen Entscheid bereits hingewiesen (act. 28 E. 4; vgl. bereits OGer ZH PS220059 vom 1. April 2022, E. 4). Die Vorinstanz hat der Beschwerdeführerin somit zu Recht keine Parteientschädigung zugesprochen. Der Hauptantrag der Beschwerde ist daher abzuweisen. 3.4 Es ist daher auf den Eventualantrag der Beschwerde einzugehen. Mit diesem verlangt die Beschwerdeführerin sinngemäss die Aufhebung aller übrigen Dispositiv-Ziffern des angefochtenen Beschlusses. Bezüglich "Punkt 2 des Dispositivs" (Nichteintreten auf Schadenersatz- begehren) bringt sie zwar vor, dieser "verletze Recht". Sie macht jedoch weder geltend, vor Vorinstanz überhaupt ein Schadenersatzbegehren gestellt zu haben</w:t>
      </w:r>
    </w:p>
    <w:p>
      <w:r>
        <w:t>- 5 - (vgl. oben E. 3.2), noch, die Vorinstanz sei – entgegen deren Ansicht – zur Beurteilung dieses Schadenersatzbegehrens zuständig. Insoweit ist der Eventualantrag abzuweisen. Soweit die Beschwerdeführerin die Aufhebung der restlichen Dispositiv- Ziffern des angefochtenen Beschlusses verlangt, begründet sie diesen Antrag nicht. Damit kommt sie ihrer Begründungslast nicht nach (vgl. oben E. 2). Insoweit ist auf den Eventualantrag nicht einzutreten. 3.5 Nach dem Gesagten sind die Beschwerdeanträge abzuweisen, soweit darauf überhaupt eingetreten werden kann. 4. Das Beschwerdeverfahren ist grundsätzlich kostenlos (vgl.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