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PS220074 vom 19. April 2022</w:t>
      </w:r>
    </w:p>
    <w:p>
      <w:r>
        <w:t>ZH Obergericht, 2022-04-19, DE</w:t>
      </w:r>
    </w:p>
    <w:p>
      <w:r>
        <w:rPr>
          <w:b/>
        </w:rPr>
        <w:t xml:space="preserve">Quelle: </w:t>
      </w:r>
      <w:r>
        <w:t>https://mcp.opencaselaw.ch/entscheid/zh_obergericht_PS220074</w:t>
      </w:r>
    </w:p>
    <w:p>
      <w:r>
        <w:t>FR: ZH_OBERGERICHT PS220074 du 19 avril 2022</w:t>
      </w:r>
    </w:p>
    <w:p>
      <w:r>
        <w:t>IT: ZH_OBERGERICHT PS220074 del 19 aprile 2022</w:t>
      </w:r>
    </w:p>
    <w:p>
      <w:pPr>
        <w:pStyle w:val="Heading2"/>
      </w:pPr>
      <w:r>
        <w:t>Erwägungen</w:t>
      </w:r>
    </w:p>
    <w:p>
      <w:r>
        <w:rPr>
          <w:b/>
        </w:rPr>
        <w:t>E. 10</w:t>
      </w:r>
    </w:p>
    <w:p>
      <w:r>
        <w:t>Tagen mit Beschwerde nach der ZPO angefochten werden (Art. 174 Abs. 1 SchKG). Die Rechtsmittelinstanz kann die Konkurseröffnung aufheben, wenn die Schuldnerin ihre Zahlungsfähigkeit glaubhaft macht und durch Urkunden beweist, dass inzwischen die Schuld getilgt ist (Tilgung), der geschuldete Betrag beim obe- ren Gericht zuhanden der Gläubigerin hinterlegt ist (Hinterlegung) oder die Gläu- bigerin auf die Durchführung des Konkurses verzichtet hat (vgl. Art. 174 Abs. 2</w:t>
      </w:r>
    </w:p>
    <w:p>
      <w:r>
        <w:t>- 3 - SchKG). 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Zudem können mit der Beschwer- deschrift auch bestimmte im Gesetz vorgesehene Konkurshinderungsgründe, die sich nach dem erstinstanzlichen Entscheid ereignet haben (Tilgung, Hinterlegung, Gläubigerverzicht), geltend gemacht werden, wenn die Schuldnerin gleichzeitig ih- re Zahlungsfähigkeit glaubhaft macht (Art. 174 Abs. 1 und 2 SchKG). 2.2 Die Schuldnerin macht geltend, die der Konkurseröffnung zugrunde liegende Forderung samt Zinsen und Kosten bereits vor Konkurseröffnung bezahlt zu ha- ben. In der von ihr eingereichten Kopie der Abrechnung des Betreibungsamtes vom 4. März 2022 wird ihr in der Betreibung Nr. … der Erhalt der Zahlung des Endbetrages von Fr. 3'334.75 unterschriftlich quittiert (act. 4/7). Damit ist belegt, dass die Schuldnerin die der Konkurseröffnung zugrunde liegende Forderung samt Zinsen und Kosten vor Konkurseröffnung an das Betreibungsamt bezahlt hat. Dies geht auch aus dem von der Schuldnerin eingereichten Betreibungsregis- terauszug vom 11. April 2022 (act. 4/10) hervor (a.a.O., S. 2). 2.3 Weiter geht aus der eingereichten Kopie der Bestätigung des Konkursamtes Winterthur-Altstadt vom 11. April 2022 (act. 4/3) hervor, dass die Schuldnerin mit ihrer Zahlung von Fr. 1'000.– auch die Kosten der Vorinstanz und des Kon- kursamtes am 11. April 2022 und damit fristgerecht, sichergestellt hat. Die Sicher- stellung der Kosten des Konkursgerichtes und des Konkursamtes, wofür die Gläubigerin nach Art. 169 SchKG haftet, gehört (jedenfalls soweit eine Schuldne- rin diese Kosten durch Säumnis veranlasst hat) auch zur Tilgung der Schuld (Art. 172 Ziff. 3, Art. 174 Abs. 2 Ziff. 1 SchKG; KUKO SchKG-DIGGELMANN, 2. Aufl., Art. 172 N 3, Art. 174 N 10). Die Schuldtilgung ist somit im vorliegenden Fall in wesentlichem Umfang vor, zum Teil aber auch erst nach der Konkurseröff- nung erfolgt. Nach Art. 174 Abs. 2 SchKG wäre deshalb grundsätzlich die Glaub- haftigkeit der Zahlungsfähigkeit der Schuldnerin zu prüfen. Die Kammer lässt je- doch den Umstand, dass die Kosten des Konkursamtes und des Konkursgerich-</w:t>
      </w:r>
    </w:p>
    <w:p>
      <w:r>
        <w:t>- 4 - tes erst nach der Konkurseröffnung sichergestellt wurden, in ständiger Praxis un- berücksichtigt, wenn die Schuldtilgung im Übrigen (wie hier) ganz vor der Kon- kurseröffnung erfolgt ist. Von der Prüfung der Zahlungsfähigkeit wird in diesem Fall abgesehen (vgl. ZR 110/2011 Nr. 79; OGer ZH PS140043 vom 7. März 2014, PS150137 vom 20. August 2015). 2.4 Die Voraussetzungen für die Aufhebung des Konkurses sind somit erfüllt. Die Beschwerde ist gutzuheissen, das angefochtene Urteil des Einzelgerichtes in Konkurssachen des Bezirksgerichtes Winterthur vom 4. April 2022 (Geschäfts-Nr. EK220155) aufzuheben und das Konkursbegehren abzuweisen. 2.5 Mit dem Entscheid in der Sache ist der Antrag auf aufschiebende Wirkung gegenstandslos und abzuschreiben. 3. Gestützt auf das Verursacherprinzip (Art. 108 ZPO) sind die Kosten beider Instanzen entgegen ihrem eigenen Antrag (act. 2 S. 4 Ziff. 2.4) der Schuldnerin aufzuerlegen. Sie hat sowohl das erstinstanzliche als auch das zweitinstanzliche Verfahren veranlasst: das erstinstanzliche Verfahren, weil sie ihre Schuld erst tilg- te, nachdem die Gläubigerin das Konkursbegehren gestellt hatte, und das Be- schwerdeverfahren, weil sie es unterliess, der Vorinstanz ihre Zahlung nachzu- weisen und die Gerichtskosten zu begleichen. Es ist Sache des Betreibungsam- tes, im Rahmen seines Aufgabenbereiches dafür zu sorgen, dass die Betreibung für den getilgten Betrag nicht weitergeht. So müsste das Betreibungsamt bei- spielsweise eine Konkursandrohung nach Entgegennahme der Zahlung zurück- weisen. Hingegen macht es keine Mitteilung an das Konkursamt und ist es nicht verpflichtet von sich aus den Konkursrichter über die erhaltene Zahlung zu orien- tieren. Dies ist Sache der Parteien (BGer 5A_519/2019 vom 29. Oktober 2019, E. 3.4.1 f. m.H. auf Fritschi, Verfahrensfragen bei der Konkurseröffnung, 2010, S. 294). Die Kosten für das Beschwerdeverfahren sind auf Fr. 750.– festzusetzen (vgl. Art. 61 Abs. 1 i.V.m. Art. 52 lit. b GebV SchKG). Unter diesen Umständen hat die Schuldnerin entgegen ihrem Antrag (act. 2 S. 4 Ziff. 2.4) keinen Anspruch auf eine Parteientschädigung. Der Gläubigerin ist mangels Aufwendungen, die zu entschädigen wären, ebenfalls keine Parteient-</w:t>
      </w:r>
    </w:p>
    <w:p>
      <w:r>
        <w:t>- 5 - schädigung zuzusprechen. Das Konkursamt ist anzuweisen, von dem bei ihm einbezahlten Totalbetrag von Fr. 2'500.– (Fr. 1'000.– Zahlung der Schuldnerin sowie Fr. 1'500.– Rest des von der Gläubigerin der Vorinstanz geleisteten Vor- schusses) der Gläubigerin Fr. 1'800.– und der Schuldnerin einen nach Abzug sei- ner Kosten allfällig verbleibenden Restbetrag auszuzahlen.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