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PS220071 vom 20. Mai 2022</w:t>
      </w:r>
    </w:p>
    <w:p>
      <w:r>
        <w:t>ZH Obergericht, 2022-05-20, DE</w:t>
      </w:r>
    </w:p>
    <w:p>
      <w:r>
        <w:rPr>
          <w:b/>
        </w:rPr>
        <w:t xml:space="preserve">Quelle: </w:t>
      </w:r>
      <w:r>
        <w:t>https://mcp.opencaselaw.ch/entscheid/zh_obergericht_PS220071</w:t>
      </w:r>
    </w:p>
    <w:p>
      <w:r>
        <w:t>FR: ZH_OBERGERICHT PS220071 du 20 mai 2022</w:t>
      </w:r>
    </w:p>
    <w:p>
      <w:r>
        <w:t>IT: ZH_OBERGERICHT PS220071 del 20 maggio 2022</w:t>
      </w:r>
    </w:p>
    <w:p>
      <w:pPr>
        <w:pStyle w:val="Heading2"/>
      </w:pPr>
      <w:r>
        <w:t>Erwägungen</w:t>
      </w:r>
    </w:p>
    <w:p>
      <w:r>
        <w:rPr>
          <w:b/>
        </w:rPr>
        <w:t>E. 2</w:t>
      </w:r>
    </w:p>
    <w:p>
      <w:r>
        <w:t>Gemäss Art. 174 Abs. 2 SchKG kann die Konkurseröffnung im Be- schwerdeverfahren aufgehoben werden, wenn der Schuldner mit der Einlegung</w:t>
      </w:r>
    </w:p>
    <w:p>
      <w:r>
        <w:t>- 3 - des Rechtsmittels seine Zahlungsfähigkeit glaubhaft macht und durch Urkunden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w:t>
      </w:r>
    </w:p>
    <w:p>
      <w:r>
        <w:rPr>
          <w:b/>
        </w:rPr>
        <w:t>E. 3</w:t>
      </w:r>
    </w:p>
    <w:p>
      <w:r>
        <w:t>Die Schuldnerin hat mit Einzahlung vom 20. April 2022 für die der Kon- kurseröffnung zugrunde liegende Forderung samt Zinsen und Kosten einen Be- trag von CHF 4'880.55 beim Obergericht hinterlegt (act. 9). Dieser Betrag deckt die vorstehend dargelegten Forderungen der Gläubigerin samt Kosten. Weiter hat sie die Kosten des Konkursgerichts und des Konkursverfahrens sichergestellt (act. 5/4). Damit hat die Schuldnerin innert der Rechtsmittelfrist nachgewiesen, dass sie den geschuldeten Betrag im Sinne von Art. 174 Abs. 2 Ziff. 2 SchKG hin- terlegt hat. 4.1. Da die Zahlung erst nach der Konkurseröffnung geleistet wurde, bleibt zu prüfen, ob die Zahlungsfähigkeit der Schuldnerin glaubhaft ist. Zahlungsfähigkeit bedeutet, dass ausreichend liquide Mittel vorhanden sind, mit denen die Gläubi- ger bei Fälligkeit ihrer Forderungen befriedigt werden können. Die Schuldnerin hat deshalb aufzuzeigen, dass sie in der Lage ist, in näherer Zukunft ihren laufenden Verbindlichkeiten nachzukommen sowie die bestehenden Schulden abzutragen.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(OGer ZH PS140068 vom 29. April 2014). Grundsätzlich als zahlungsunfähig er- weist sich ein Schuldner, der beispielsweise Konkursandrohungen anhäufen lässt, systematisch Rechtsvorschlag erhebt und selbst kleinere Beträge nicht bezahlt. Bloss vorübergehende Zahlungsschwierigkeiten lassen die Schuldnerin somit noch nicht als zahlungsunfähig erscheinen. Anders verhält es sich, wenn keine Anzeichen für eine Verbesserung ihrer finanziellen Lage zu erkennen sind und sie auf unabsehbare Zeit hinaus als illiquid erscheint. Auch wenn die Schuldnerin die</w:t>
      </w:r>
    </w:p>
    <w:p>
      <w:r>
        <w:t>- 4 - Zahlungsfähigkeit nicht strikt beweisen, sondern nur glaubhaft machen muss, so genügen ihre Behauptungen allein nicht. Sie muss die Angaben durch objektive Anhaltspunkte untermauern, sodass das Gericht den Eindruck erhält, diese seien zutreffend, ohne das Gegenteil ausschliessen zu müssen (BGE 132 III 715 E. 3.1.; BGE 132 III 140 E. 4.1.2.; BGer 5A_297/2012 E. 2.3.; BGer 5A_115/2012 vom 20. April 2012 E. 3; BGer 5A_118/2012 vom 20. April 2012 E. 3.1; BGer 5A_328/2011 vom 11. August 2011 E. 2). 4.2. Wesentlichen Aufschluss über das Zahlungsverhalten und die finanzielle Lage einer Schuldnerin gibt insbesondere das Betreibungsregister. Im Recht liegt ein aktueller Auszug des Betreibungsamtes Niederhasli-Niederglatt, der den Zeit- raum vom 3. Juli 2020 bis 8. April 2022 umfasst (act. 5/22). In dieser Zeit wurde die Schuldnerin – nebst der vorliegenden Konkursforderung – 23 Mal betrieben. Der Gesamtbetrag sämtlicher Betreibungen beläuft sich – abzüglich der vorlie- genden Konkursforderung – auf rund CHF 74'400.–. Aktuell sind noch 16 Betreibungen über CHF 70'257.22 aus den Jahren 2021 bis 2022 offen; nebst der vorliegenden Konkursforderung wurde bereits bei vier Forderungen der Kon- kurs angedroht. Frühere Konkurseröffnungen oder Verlustscheine sowie Betrei- bungen am früheren Sitz der Schuldnerin sind nicht registriert (act. 5/22 und act. 14/22). 4.2.1. Zur Forderung der C._____ AG über CHF 8'176.60 führt die Schuldnerin aus, diese betreffe die Entschädigung eines Einsatzes eines Mitarbeiters und sei bestritten. Strittig sei die Dauer des Einsatzes: Die C._____ AG gehe von einem Monat aus, obwohl der Mitarbeiter effektiv lediglich drei Tage für die Schuldnerin tätig gewesen sei. Seit dem Rechtsvorschlag seien keine weiteren Schritte mehr vorgenommen worden, um die Forderung einzutreiben (act. 2 Rz. 33). Die Schuldnerin reicht keinerlei Belege ein, die ihren Standpunkt untermauern wür- den. Auch wenn davon auszugehen ist, dass die einjährige Frist zur Stellung des Fortsetzungsbegehrens abgelaufen ist (Art. 88 Abs. 2 SchKG i.V.m. act. 5/22 S. 2), sagt dies für sich alleine nichts über die Rechtmässigkeit einer Forderung aus. Entsprechend ist die Forderung von CHF 8'176.60 zu berücksichtigen.</w:t>
      </w:r>
    </w:p>
    <w:p>
      <w:r>
        <w:t>- 5 - 4.2.2. Die Forderungen der D._____ Versicherungsgesellschaft über CHF 2'751.40, CHF 1'631.90 und CHF 147.05 – für die bereits der Konkurs ange- droht wurde – anerkennt die Schuldnerin und erklärt, sie werde diese begleichen, sobald sie die Verfügungsmacht über ihr Vermögen wieder erhalte (act. 2 Rz. 39). Die Abrechnungen des Betreibungsamtes Niederhasli-Niederglatt vom 5. Mai 2022 belegen, dass die Forderungen im Gesamtumfang von CHF 4'530.35 begli- chen sind (act. 14/28). 4.2.3. Die Forderung der E._____ AG in Höhe von CHF 8'952.50 wurde im Um- fang von CHF 2'815.40 beglichen (act. 2 Rz. 40 i.V.m. act. 5/23). Damit sind aus dieser Forderung noch CHF 6'137.10 offen. 4.2.4. Die Schuldnerin bestreitet die Forderung der F._____ AG … in Höhe von CHF 20'698.85 und begründet dies mit einer Falschlieferung (act. 2 Rz. 43). Es bestehen weder Belege für eine Falschlieferung noch Anzeichen, die Holzlieferan- tin werde die Forderung nicht weiter verfolgen. Entsprechend ist die Schuld zu be- rücksichtigen. 4.2.5. Die Forderung der RS Bau GmbH in Höhe von CHF 3'010.– bestreitet die Schuldnerin ebenfalls, ohne ihren Standpunkt auf irgendeine Weise mit Belegen – bspw. mittels Leistungsverzeichnis, auf das sie sich stützt – zu untermauern (act. 2 Rz. 46). Damit ist die Forderung im vollem Umfang in der Berechnung zu berücksichtigen. 4.2.6. Die Forderung der G._____ (Schweiz) AG über CHF 3'610.20 anerkennt die Schuldnerin (act. 2 Rz. 49 und act. 13 Rz. 11). Bei dieser Betreibung wurde ebenfalls bereits der Konkurs angedroht. Die Schuldnerin konnte mit E-Mail vom</w:t>
      </w:r>
    </w:p>
    <w:p>
      <w:r>
        <w:rPr>
          <w:b/>
        </w:rPr>
        <w:t>E. 5</w:t>
      </w:r>
    </w:p>
    <w:p>
      <w:r>
        <w:t>Ausgangsgemäss sind die Kosten des Beschwerdeverfahrens der Schuldnerin aufzuerlegen (Art. 106 Abs. 1 ZPO). Die zweitinstanzliche Spruchge- bühr ist in Anwendung von Art. 52 lit. b i.V.m. Art. 61 Abs. 1 GebV SchKG auf CHF 750.– festzusetzen. Parteientschädigungen sind keine zuzusprechen. Der Schuldnerin nicht, weil sie unterliegt, der Gläubigerin nicht, weil ihr keine Umtriebe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