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PS220048 vom 29. Juli 2022</w:t>
      </w:r>
    </w:p>
    <w:p>
      <w:r>
        <w:t>ZH Obergericht, 2022-07-29, DE</w:t>
      </w:r>
    </w:p>
    <w:p>
      <w:r>
        <w:rPr>
          <w:b/>
        </w:rPr>
        <w:t xml:space="preserve">Quelle: </w:t>
      </w:r>
      <w:r>
        <w:t>https://mcp.opencaselaw.ch/entscheid/zh_obergericht_PS220048</w:t>
      </w:r>
    </w:p>
    <w:p>
      <w:r>
        <w:t>FR: ZH_OBERGERICHT PS220048 du 29 juillet 2022</w:t>
      </w:r>
    </w:p>
    <w:p>
      <w:r>
        <w:t>IT: ZH_OBERGERICHT PS220048 del 29 luglio 2022</w:t>
      </w:r>
    </w:p>
    <w:p>
      <w:pPr>
        <w:pStyle w:val="Heading2"/>
      </w:pPr>
      <w:r>
        <w:t>Erwägungen</w:t>
      </w:r>
    </w:p>
    <w:p>
      <w:r>
        <w:rPr>
          <w:b/>
        </w:rPr>
        <w:t>E. 1.1</w:t>
      </w:r>
    </w:p>
    <w:p>
      <w:r>
        <w:t>Der Kanton Freiburg (Gesuchs- und Beschwerdegegner, nachfolgend Be- schwerdegegner) betreibt die A._____ ag (Gesuchstellerin und Beschwerdeführe- rin, nachfolgend Beschwerdeführerin) für eine Forderung von Fr. 500'000.-- nebst Zins gestützt auf eine Anordnung des Bundesgerichtes vom 9. März 2020, mit welcher die Beschwerdeführerin innert 30 Tagen zur Errichtung einer Kostende- ckung zu Gunsten der Beschwerdegegnerin in ebendieser Höhe verpflichtet wur- de (Zahlungsbefehl des Stadtammann- und Betreibungsamt Zürich 8 vom 19. August 2020 in der Betreibung Nr. …; act. 2).</w:t>
      </w:r>
    </w:p>
    <w:p>
      <w:r>
        <w:rPr>
          <w:b/>
        </w:rPr>
        <w:t>E. 1.2</w:t>
      </w:r>
    </w:p>
    <w:p>
      <w:r>
        <w:t>Eventualiter: Es sei in der Betreibung Nr. ... des Betreibungsamtes Zürich 8 (Zahlungsbefehl vom 19. August 2020) die Vollstreckbarkeit aufzuheben.</w:t>
      </w:r>
    </w:p>
    <w:p>
      <w:r>
        <w:rPr>
          <w:b/>
        </w:rPr>
        <w:t>E. 1.3</w:t>
      </w:r>
    </w:p>
    <w:p>
      <w:r>
        <w:t>Hiergegen erhob die Beschwerdeführerin mit Eingabe vom 4. März 2022 Beschwerde bei der II. Zivilkammer des Obergerichts des Kantons Zürich mit den folgenden Rechtsbegehren (act. 9): "1.1 Die Betreibung Nr. ... des Betreibungsamtes Zürich 8 (Zahlungsbefehl vom 19. August 2020) sei aufzuheben.</w:t>
      </w:r>
    </w:p>
    <w:p>
      <w:r>
        <w:rPr>
          <w:b/>
        </w:rPr>
        <w:t>E. 1.4</w:t>
      </w:r>
    </w:p>
    <w:p>
      <w:r>
        <w:t>Die vorinstanzlichen Akten wurden beigezogen (act. 1-6). Mit Verfügung vom 10. März 2022 wurde das Betreibungsamt Zürich 8 angewiesen, in der ge- nannten Betreibung einstweilen keine weiteren Betreibungshandlungen vorzu-</w:t>
      </w:r>
    </w:p>
    <w:p>
      <w:r>
        <w:t>- 3 - nehmen, und es wurde dem Beschwerdegegner Frist angesetzt, um zum Gesuch auf Erlass der vorsorglichen Massnahme Stellung zu nehmen und gleichzeitig die Beschwerde zu beantworten (act. 13). Zudem wurde der Beschwerdeführerin Frist zur Leistung eines Kostenvorschusses angesetzt. Der Kostenvorschuss wurde rechtzeitig geleistet (act. 15). Die Beschwerdeantwort wurde mit Eingabe vom 21. März 2022 innert Frist erstattet mit dem Antrag auf Abweisung der Beschwer- de unter Kosten- und Entschädigungsfolgen zu Lasten der Beschwerdeführerin (act. 16). Die Beschwerdeantwort wurde der Beschwerdeführerin zugestellt (act. 18). Das Verfahren erweist sich als spruchreif.</w:t>
      </w:r>
    </w:p>
    <w:p>
      <w:r>
        <w:rPr>
          <w:b/>
        </w:rPr>
        <w:t>E. 2</w:t>
      </w:r>
    </w:p>
    <w:p>
      <w:r>
        <w:t>Unter Kosten- und Entschädigungsfolgen zulasten des Beschwerdegegners." Gleichzeitig verlangte sie in prozessualer Hinsicht als provisorische und super- provisorische Massnahme die Einstellung der Betreibung Nr. ... für die Dauer des vorliegenden Beschwerdeverfahrens.</w:t>
      </w:r>
    </w:p>
    <w:p>
      <w:r>
        <w:rPr>
          <w:b/>
        </w:rPr>
        <w:t>E. 2.1</w:t>
      </w:r>
    </w:p>
    <w:p>
      <w:r>
        <w:t>Gegen Entscheide in Verfahren betreffend Aufhebung oder Einstellung der Betreibung nach Art. 85 SchKG ist die Beschwerde zulässig (Art. 309 lit. b Ziff. 4 i.V.m. Art. 319 lit. a ZPO). Die Beschwerde ist bei der Rechtsmittelinstanz innert der Rechtsmittelfrist schriftlich und begründet einzureichen (Art. 321 Abs. 1 ZPO). Aus der Begründungslast ergibt sich zudem, dass die Beschwerde Rechtsmittel- anträge zu enthalten hat. Mit der Beschwerde kann die unrichtige Rechtsanwen- dung und die offensichtlich unrichtige Feststellung des Sachverhaltes geltend gemacht werden (Art. 320 ZPO). Neue Tatsachen und Beweismittel sind im Be- schwerdeverfahren ausgeschlossen (Art. 326 ZPO).</w:t>
      </w:r>
    </w:p>
    <w:p>
      <w:r>
        <w:rPr>
          <w:b/>
        </w:rPr>
        <w:t>E. 2.2</w:t>
      </w:r>
    </w:p>
    <w:p>
      <w:r>
        <w:t>Die vorliegende Beschwerde vom 4. März 2022 (Datum Poststempel) wurde innert der Rechtsmittelfrist schriftlich, mit Anträgen versehen und begründet bei der Kammer als der zuständigen Rechtsmittelinstanz eingereicht. Die Beschwer- deführerin ist durch den angefochtenen Entscheid beschwert und zur Beschwerde legitimiert. Es ist daher auf die Beschwerde einzutreten.</w:t>
      </w:r>
    </w:p>
    <w:p>
      <w:r>
        <w:rPr>
          <w:b/>
        </w:rPr>
        <w:t>E. 3.1</w:t>
      </w:r>
    </w:p>
    <w:p>
      <w:r>
        <w:t>Gemäss unbestritten gebliebener Darstellung der Vorinstanz liegt dem vor- liegenden Verfahren eine verwaltungsrechtliche Streitigkeit zwischen den Parteien betreffend die Haftung für die Sanierungskosten der mit PCB verseuchten Abfall- deponie B._____ zu Grunde. Mit Entscheid der Raumplanungs-, Umwelt- und</w:t>
      </w:r>
    </w:p>
    <w:p>
      <w:r>
        <w:t>- 4 - Baudirektion des Kantons Freiburg (RUBD) vom 12. Juli 2019 ist die Beschwerde- führerin zur Leistung einer Sicherheit von Fr. 25'500'000.-- verpflichtet worden. Das Kantonsgericht Freiburg hat diesen Entscheid mit Urteil vom 17. Dezember 2019 bestätigt. Die Beschwerdeführerin hat dagegen Beschwerde in öffentlich-rechtlicher Angelegenheit ans Bundesgericht erhoben. In diesem Zu- sammenhang hat das Bundesgericht am 9. März 2020 eine Verfügung erlassen, mit welcher der Beschwerde im Umfang von Fr. 25'000'000.-- aufschiebende Wir- kung erteilt wurde. In der Folge hat das Bundesgericht mit Entscheid vom</w:t>
      </w:r>
    </w:p>
    <w:p>
      <w:r>
        <w:rPr>
          <w:b/>
        </w:rPr>
        <w:t>E. 3.2</w:t>
      </w:r>
    </w:p>
    <w:p>
      <w:r>
        <w:t>Vor diesem Hintergrund erachtete die Vorinstanz den Nachweis für den Nichtbestand der Forderung durch die Beschwerdeführerin als nicht erbracht. Zur Begründung führte sie zusammengefasst aus, im Zahlungsbefehl werde als For- derungsgrund auf eine Verordnung (gemeint wohl Verfügung) des Bundesgerich- tes vom 9. März 2020 verwiesen, mit der die Beschwerdeführerin zur Errichtung einer Kostendeckung zu Gunsten des Beschwerdegegners verpflichtet worden sei. Die Beschwerdeführerin stelle sich auf den Standpunkt, mit Entscheid vom</w:t>
      </w:r>
    </w:p>
    <w:p>
      <w:r>
        <w:rPr>
          <w:b/>
        </w:rPr>
        <w:t>E. 3.3</w:t>
      </w:r>
    </w:p>
    <w:p>
      <w:r>
        <w:t>Die Beschwerdeführerin bringt dagegen im Wesentlichen vor, die Vorinstanz gehe bei dieser Argumentation von einem privatrechtlichen Forderungsverhältnis aus. Im Verwaltungsrecht werde der Forderungsbestand aber – abgesehen vom verwaltungsrechtlichen Vertrag und von direkt anwendbaren normativen Verwal- tungsnormen – grundsätzlich durch Verfügung begründet. Vorliegend entspreche die forderungsbegründende Verfügung dem privatrechtlichen Rechtsgrund. Ge- genstand der Betreibungsforderung sei im vorliegenden Fall der Garantieleis- tungsentscheid vom 12. Juli 2019. Mit Entscheid des Bundesgerichts vom</w:t>
      </w:r>
    </w:p>
    <w:p>
      <w:r>
        <w:rPr>
          <w:b/>
        </w:rPr>
        <w:t>E. 3.4</w:t>
      </w:r>
    </w:p>
    <w:p>
      <w:r>
        <w:t>Der Beschwerdegegner macht hauptsächlich geltend, die vorliegende Sache sei im Rahmen der Klage nach Art. 85a SchKG bereits entschieden und es könne nicht nochmals darüber im Rahmen der Klage nach Art. 85 SchKG entschieden werden. Zudem sei die Forderung nicht durch Verfügung begründet worden, son- dern von Gesetzes wegen entstanden, weshalb sie mit Aufhebung der ersten kan- tonalen Garantieentscheide nicht erloschen sei. Schliesslich habe die Beschwer- deführerin nicht durch Urkunden bewiesen, dass die Schuld getilgt oder gestundet sei, weshalb die Klage nach Art. 85 SchKG unbegründet und daher abzuweisen sei (act. 16 Rz. 19 ff.).</w:t>
      </w:r>
    </w:p>
    <w:p>
      <w:r>
        <w:rPr>
          <w:b/>
        </w:rPr>
        <w:t>E. 4</w:t>
      </w:r>
    </w:p>
    <w:p>
      <w:r>
        <w:t>Juni 2021 sei diese forderungsbegründende Verwaltungsverfügung aufgeho- ben worden. Damit sei aus verwaltungsrechtlicher Sicht nicht bloss die Betrei- bungsforderung dahingefallen, sondern auch die zugrundeliegenden Verwal- tungsverfügung, weshalb auch die verfügte Garantieleistungsforderung als solche erloschen sei, auch wenn das Bundesgericht über den Forderungsbestand nicht entschieden habe (act. 9 S. 3 f.). Am 2. Februar 2022 sei zwar ein neuer Garan- tieleistungsentscheid ergangen über Fr. 22'500'000.--. Weil es sich um einen neuen Verwaltungsakt handle, sei mit diesem Entscheid aus verwaltungsrechtli- cher Sicht auch eine neue Garantieleistungsforderung begründet worden, die mit der Betreibungsforderung im Wesentlichen bloss die Gesetzesgrundlage und den Sachverhalt gemeinsam habe. Sollte der Beschwerdegegner dennoch diese neue Garantieleistungsforderung oder gar die Kostenersatzforderung über Fr. 3'681'000'000.-- für die erloschene Betreibungsforderung nachschieben kön- nen, so sei anzumerken, dass diese Forderungen nicht vollstreckbar und Gegen- stand zweier hängiger Beschwerdeverfahren vor dem Kantonsgericht Freiburg</w:t>
      </w:r>
    </w:p>
    <w:p>
      <w:r>
        <w:t>- 6 - seien. Mangels Vollstreckbarkeit sei eine Verwertung für die nachgeschobenen Forderungen ausgeschlossen, weshalb eventualiter die Vollstreckbarkeit der streitgegenständlichen Betreibung aufzuheben sei (act. 9 S. 4 f.).</w:t>
      </w:r>
    </w:p>
    <w:p>
      <w:r>
        <w:rPr>
          <w:b/>
        </w:rPr>
        <w:t>E. 4.1</w:t>
      </w:r>
    </w:p>
    <w:p>
      <w:r>
        <w:t>Vorab ist festzuhalten, dass die Klage nach Art. 85 SchKG alternativ zur Klage nach Art. 85a SchKG zur Verfügung steht und keine lex specialis ist. Im Un- terschied zur Feststellungklage nach Art. 85a SchKG hat die Klage nach Art. 85 SchKG allerdings nur betreibungsrechtliche Wirkungen und wird im sum- marischen Verfahren unter Beschränkung auf den Urkundenbeweis beurteilt (BSK SchKG I-BANGERT, 3. Aufl. 2021, Art. 85 N 6). Der Umstand, dass die Sache of- fenbar bereits Gegenstand einer Klage nach Art. 85a SchKG war, schliesst dem- nach die vorliegende Klage nach Art. 85 SchKG nicht aus, sofern sie nicht als rechtskräftig entschieden gilt (Art. 59 Abs. 2 lit. e ZPO). Das ist vorliegend nicht der Fall, da es sich nach Angaben des Beschwerdegegners um ein Prozessurteil handelte (Nichteintreten). Dieses entfaltet mangels Entscheid in der Sache keine anspruchsbezogene Ausschlusswirkung (ZK ZPO-ZÜRCHER, 3. Aufl. 2016, Art. 59 N 48); auch dann nicht, wenn der Nichteintretensentscheid im summarischen Ver- fahren gemäss Art. 257 ZPO ergangen ist (ZK ZPO-SUTTER-SOMM/LÖTSCHER, 3. Aufl. 2016, Art. 257 N 32b). Darüber hinaus handelt es sich gerade nicht um ein weiteres Gesuch im gleichen Verfahren, so dass gegebenenfalls das Rechts- schutzinteresse der Beschwerdeführerin tangiert sein könnte (vgl. BSK ZPO-</w:t>
      </w:r>
    </w:p>
    <w:p>
      <w:r>
        <w:t>- 7 - HOFMANN, 3. Aufl. 2017, Art. 257 N 26). Die Vorinstanz trat mithin zu Recht auf die Klage ein.</w:t>
      </w:r>
    </w:p>
    <w:p>
      <w:r>
        <w:rPr>
          <w:b/>
        </w:rPr>
        <w:t>E. 4.2</w:t>
      </w:r>
    </w:p>
    <w:p>
      <w:r>
        <w:t>Art. 85 SchKG sieht vor, dass der Betriebene beim Gericht die Aufhebung der Betreibung verlangen kann, wenn er durch Urkunden die Tilgung der Schuld samt Zinsen und Kosten beweist. Tilgung bedeutet Erlöschen der Schuld, sei es zufolge Zahlung, sei es zufolge eines anderen Grundes wie Verrechnung oder Schulderlass (BSK SchKG I-BANGERT, 3. Aufl. 2021, Art. 85 N 16). Auch wenn vom Wortlaut von Art. 85 SchKG eigentlich nicht erfasst, lässt das Bundesgericht auch den Nachweis des Nichtbestehens der Schuld zu. Hierfür hat der Schuldner nach der bundesgerichtlichen Rechtsprechung durch Urkunden den vollen und unmittelbaren Beweis zu erbringen. Die materielle Rechtslage muss auf der Hand liegen, manifest sein (BGE 140 III 41 E. 3.3.2; BSK SchKG I-BANGERT, 3. Aufl. 2021, Art. 85 N 26 und N 33 ff.). Das Nichtbestehen der Schuld muss sich aus der Urkunde selbst ergeben (BGE 140 III 41 E. 3.4.1.: in der betreffenden Ur- kunde verurkundet sein; BGer 5A_216/2018 v. 11. September 2018, E. 4.1., "preuve directe"). Die Anforderungen an die Urkunde gemäss Art. 85 SchKG, mit welcher der Nichtbestand der Forderung bewiesen werden soll, sind die gleichen wie bei Art. 81 Abs. 1 SchKG. Die betreffende Urkunde kann zweifellos etwa ein gerichtlicher negativer Feststellungsentscheid sein oder auch ein rechtskräftiges Schiedsgerichtsurteil. Ob darüber hinaus auch weitere Urkunden in Frage kämen, aus denen sich direkt ergäbe, dass die Schuld nicht mehr besteht – wie etwa eine Saldoquittung oder ein negatives Schuldanerkenntnis –, hat das Bundesgericht ausdrücklich offen gelassen (BGE 140 III 41 E. 3.3.2. S. 46; BGer 5A_216/2018 v. 11. September 2018, E. 4.2.; Letzteres wohl ablehnend BSK SchKG I-BANGERT, Art. 85 N 26 e contrario). Das Gericht im Verfahren gemäss Art. 85 SchKG ist da- bei – wie das Rechtsöffnungsgericht – ein Vollstreckungsgericht, das anhand sol- cherart qualifizierter Urkunden prüft, ob die Betreibung (weiterhin) zulässig ist.</w:t>
      </w:r>
    </w:p>
    <w:p>
      <w:r>
        <w:rPr>
          <w:b/>
        </w:rPr>
        <w:t>E. 4.3</w:t>
      </w:r>
    </w:p>
    <w:p>
      <w:r>
        <w:t>Daran ändert nichts, dass es sich bei der Betreibungsforderung um eine öf- fentlich-rechtliche Forderung handelt. Zunächst ist festzuhalten, dass das Gericht auch in diesem Fall ohne eigentliche Prüfung vom Bestand der in Betreibung ge- setzten Forderung auszugehen und lediglich zu entscheiden hat, ob deren Til-</w:t>
      </w:r>
    </w:p>
    <w:p>
      <w:r>
        <w:t>- 8 - gung oder Stundung durch Urkunde nachgewiesen und deshalb die Betreibung aufzuheben oder einzustellen ist. Der öffentlich-rechtliche Charakter der in Frage stehenden Forderungen steht dem nicht entgegen (BSK SchKG I-BANGERT, 3. Aufl. 2021, Art. 85 N 10; gl.M. AMONN/WALTHER, Grundriss des Schuldbetrei- bungs- und Konkursrechts, 9. Aufl. 2013, § 20 N 5; KUKO SchKG-BRÖNNIMANN, 2. Aufl. 2014, Art. 85 N 5).</w:t>
      </w:r>
    </w:p>
    <w:p>
      <w:r>
        <w:rPr>
          <w:b/>
        </w:rPr>
        <w:t>E. 4.4</w:t>
      </w:r>
    </w:p>
    <w:p>
      <w:r>
        <w:t>Weiter ist der Beschwerdeführerin zuzustimmen, dass im öffentlichen Recht Forderungen, d.h. Rechte und Pflichten eines bestimmten Privaten in einem kon- kreten Fall, unter anderem durch Verfügungen begründet werden (HÄFELIN UL- RICH/MÜLLER GEORG/UHLMANN FELIX, Allgemeines Verwaltungsrecht, 8. Aufl., Zü- rich/St. Gallen 2020, S. 174 N 752, S. 193 N 849 und S. 196 N 866). Insofern trifft es zu, dass eine Forderung aus verwaltungsrechtlicher Sicht dahinfällt, wenn der sie begründete Akt durch gerichtlichen Entscheid aufgehoben wird. Ob im vorlie- genden Fall die Forderung der Beschwerdegegnerin durch den Entscheid der RUBD vom 12. Juli 2019 oder von Gesetzes wegen begründet wurde, wie es der Beschwerdegegner geltend macht (vgl. act. 16 Rz. 32 ff.), und ob die Forderung mit Aufhebung des Entscheids der RUBD vom 12. Juli 2019 durch den Bundesge- richtsentscheid vom 4. Juni 2021 dahingefallen ist, kann hier indes offen gelassen werden. Denn aus vollstreckungsrechtlicher Sicht ist im Rahmen von Art. 85 SchKG nach dem Gesagten einzig massgebend, ob sich der Nichtbestand (oder die Tilgung) der Schuld aus der vorgelegten Urkunde ergibt. Die Beschwer- deführerin stützt sich zur Begründung ihres Begehrens auf den Entscheid des Bundesgerichts vom 4. Juni 2021. Das Bundesgericht stellt darin nicht fest, dass die Forderung nicht besteht oder getilgt ist (vgl. act. 4/7.2). Das hält bereits die Vorinstanz fest und etwas anderes behauptet auch die Beschwerdeführerin vor- liegend nicht. Die Beschwerdeführerin legt demnach keine Urkunde vor, aus wel- cher sich der Nichtbestand der Schuld unmittelbar ergeben würde (oder in den Worten des BGer: in der verurkundet ist, dass sie nichts schulde). Das führt zur Abweisung der Beschwerde.</w:t>
      </w:r>
    </w:p>
    <w:p>
      <w:r>
        <w:rPr>
          <w:b/>
        </w:rPr>
        <w:t>E. 5</w:t>
      </w:r>
    </w:p>
    <w:p>
      <w:r>
        <w:t>Ausgangsgemäss wird die Beschwerdeführerin für das Beschwerdeverfah- ren kostenpflichtig (Art. 106 Abs. 1 ZPO). Die zweitinstanzliche Entscheidgebühr</w:t>
      </w:r>
    </w:p>
    <w:p>
      <w:r>
        <w:t>- 9 - ist unter Berücksichtigung des Streitwerts von Fr. 500'000.-- und in Anwendung von Art. 61 Abs. 1 i.V.m. Art. 48 GebV SchKG auf Fr. 1'000.-- festzusetzen, der Beschwerdeführerin aufzuerlegen und aus dem von ihr geleisteten Kostenvor- schuss zu beziehen (Art. 111 Abs. 1 ZPO). Eine Entschädigung an den Be- schwerdegegner ist nicht zuzusprechen, da er nicht berufsmässig vertreten ist und ihm kein besonderer Aufwand entstanden ist (Art. 95 Abs. 3 SchKG; BGer 4A_355/2013 E. 4.2; vgl. URWYLER/GRÜTTER, DIKE-Komm-ZPO, 2. Aufl. 2016, Art. 95 N 25). Es wird 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