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PS220027 vom 18. Februar 2022</w:t>
      </w:r>
    </w:p>
    <w:p>
      <w:r>
        <w:t>ZH Obergericht, 2022-02-18, DE</w:t>
      </w:r>
    </w:p>
    <w:p>
      <w:r>
        <w:rPr>
          <w:b/>
        </w:rPr>
        <w:t xml:space="preserve">Quelle: </w:t>
      </w:r>
      <w:r>
        <w:t>https://mcp.opencaselaw.ch/entscheid/zh_obergericht_PS220027</w:t>
      </w:r>
    </w:p>
    <w:p>
      <w:r>
        <w:t>FR: ZH_OBERGERICHT PS220027 du 18 février 2022</w:t>
      </w:r>
    </w:p>
    <w:p>
      <w:r>
        <w:t>IT: ZH_OBERGERICHT PS220027 del 18 febbraio 2022</w:t>
      </w:r>
    </w:p>
    <w:p>
      <w:pPr>
        <w:pStyle w:val="Heading2"/>
      </w:pPr>
      <w:r>
        <w:t>Erwägungen</w:t>
      </w:r>
    </w:p>
    <w:p>
      <w:r>
        <w:rPr>
          <w:b/>
        </w:rPr>
        <w:t>E. 1</w:t>
      </w:r>
    </w:p>
    <w:p>
      <w:r>
        <w:t>Mit Eingabe vom 23. November 2021 stellte die Gläubigerin ein Konkurser- öffnungsbegehren gegen die Schuldnerin beim Einzelgericht in Konkurssachen des Bezirksgerichtes Winterthur (Vorinstanz) (act. 5/1). Die Vorinstanz zeigte den Parteien am 9. Dezember 2021 die Konkurseröffnungsverhandlung vom Donners- tag, 20. Januar 2022, an (act. 5/3). Diese Anzeige wurde der Schuldnerin gemäss Sendungsverfolgung am 10. Dezember 2021 zugestellt (act. 5/3). Am 20. Januar 2022 eröffnete die Vorinstanz den Konkurs über die Schuldnerin für eine Forde- rung der Gläubigerin von Fr. 10'207.80 einschliesslich Zinsen und bisherige Be- treibungskosten (act. 3 = act. 5/5; Betreibung Nr. 1). Dieser Entscheid wurde der Schuldnerin gemäss Sendungsverfolgung am 24. Januar 2022 zugestellt (act. 5/6).</w:t>
      </w:r>
    </w:p>
    <w:p>
      <w:r>
        <w:rPr>
          <w:b/>
        </w:rPr>
        <w:t>E. 2</w:t>
      </w:r>
    </w:p>
    <w:p>
      <w:r>
        <w:t>Mit Beschwerde vom 3. Februar 2022 gelangte die Schuldnerin an die Kammer (act. 2). Die vorinstanzlichen Akten wurden beigezogen (act. 5/1–6). Die Sache erweist sich als spruchreif. 3.1 Die Schuldnerin macht sinngemäss geltend, vom laufenden Konkursverfah- ren keine Kenntnis gehabt zu haben. Das Urteil sei nicht an eine für die Schuldne- rin bevollmächtige Person ausgehändigt worden. C._____ sei der einzige Unter- schriftsberechtigte. Von der Konkurseröffnung habe die Schuldnerin erst erfahren, als C._____ am Montag, dem 31. Januar 2022, auf dem Notariat, Grundbuch- &amp; Konkursamt vorbeigegangen sei (act. 2 Blatt 1). 3.2 Eine Konkurseröffnung setzt voraus, dass den Parteien die gerichtliche Ver- handlung über das Konkursbegehren rechtzeitig angezeigt wird (vgl. Art. 168 SchKG). Die Zustellung von Vorladungen, Verfügungen und Entscheiden erfolgt durch eingeschriebene Postsendungen oder auf andere Weise gegen Empfangs- bestätigung (Art. 138 Abs. 1 ZPO, vgl. Art. 1 lit. c ZPO). Gemäss Art. 138 Abs. 2 ZPO ist auf diese Weise auch eine sog. Ersatzzustellung an eine ange- stellte oder im gleichen Haushalt lebende mindestens 16 Jahre alte Person mög- lich, solange das Gericht keine persönliche Zustellung verlangt. Bei einer Zustel- lung an eine juristische Person an deren Sitz oder Geschäftsniederlassung hat</w:t>
      </w:r>
    </w:p>
    <w:p>
      <w:r>
        <w:t>- 3 - diese an den Adressaten, eine im Handelsregister eingetragene Person oder eine andere zur Vertretung berechtigte Person, und subsidiär an einen Angestellten zu erfolgen (vgl. BK ZPO-FREI, Art. 138 N 11 und N 15; KUKO ZPO-WEBER, 3. Aufl. 2021, Art. 138 N 3). Das Ziel dieser Regelung ist, dass gerichtliche Sendungen in die Hände jener natürlichen Personen gelangen, die für die Gesellschaft handeln können (BGer 5A_268/2012 vom 12. Juli 2012, E. 3.4). Deshalb ist im Falle einer Ersatzzustellung wenigstens eine ausdrückliche, stillschweigende oder wenigs- tens sich aus den Umständen ergebende Bevollmächtigung des Angestellten vorauszusetzen. Grundsätzlich darf eine spezifisch mit der Büro-, Sekretariats- oder Logenarbeit betraute angestellte Person als empfangsberechtigt eingestuft werden (BSK BGG-AMSTUTZ/ARNOLD, 3. Aufl. 2018, Art. 44 N 30; vgl. auch BSK ZPO-GSCHWEND, 3. Aufl. 2017, Art. 138 N 12 HUBER, DIKE-Komm-ZPO, Art. 138 N 43; a.M.: ZK ZPO-STAEHELIN, 3. Aufl. 2016, Art. 138 N 5; BK ZPO-FREI, Art. 138 N 12). 3.3.1 Mit Blick darauf ist die Schuldnerin einleitend darauf hinzuweisen, dass eine gültige Zustellung – entgegen ihrer offensichtlichen Auffassung – nicht per se al- leine an C._____ erfolgen musste. Die Zustellung war auch an eine andere be- vollmächtige Person zulässig. Vorliegend wurden sowohl die Vorladung zur Kon- kursverhandlung als auch der Entscheid über die Konkurseröffnung mittels einge- schriebener Postsendung an die Schuldnerin versendet und gemäss Empfangs- bestätigung auch zugestellt (vgl. act. 5/3 u. 5/6). Die Vorladung wurden von "D._____" als "Bevollmächtigter" (act. 5/3) und das Urteil von "E._____", ebenfalls als "Bevollmächtigter", in Empfang genommen (act. 5/6). Es ist nicht bekannt, in welcher Beziehung diese Personen zur Schuldnerin stehen. Es wird diesbezüglich auch nichts Konkretes behauptet. C._____ macht einzig pauschal für die Schuld- nerin geltend, der "alleinige Unterschriftenberechtige" zu sein, ohne diesbezüglich jedoch Weiteres darzutun bzw. ohne sich mit dem Umstand auseinanderzuset- zen, dass sich in den vorinstanzlichen Akten Zustellnachweise mit als "Bevoll- mächtigte" bezeichneten Personen finden. Ohne gegenteilige Behauptungen oder Anhaltspunkte ist daher davon auszugehen, dass die Zustellungen der gerichtli- chen Sendungen an diese Personen erfolgen durften.</w:t>
      </w:r>
    </w:p>
    <w:p>
      <w:r>
        <w:t>- 4 - 3.3.2 Daran vermögen auch die Ausführungen der Schuldnerin, weshalb sie von den Sendungen angeblich keine Kenntnis gehabt habe, nichts zu ändern. Sie führt aus, C._____ habe die Briefpost an einen elektronischen Briefkasten der Schweizerischen Post umleiten und einscannen lassen. Per Ende Juli sei diese Dienstleistung auf 'F._____' übertragen worden und er habe die Weiterführung der elektronischen Briefzustellung an den neuen Dienstleister in Auftrag gegeben. Im September 2021 habe er feststellen müssen, dass dies nicht funktioniert habe. Nach mehrmaligem Nachfragen bei 'F._____' sei ihm mitgeteilt worden, dass bei der Übertragung wohl etwas schiefgelaufen sei und man den Fehler beheben werde. Trotzdem habe er sich im neuen Portal nicht anmelden und die Post nicht abrufen können. Ebenso wenig sei er über eingeschriebene Sendungen informiert worden. Erst seit dem 28. Januar 2022 habe er wieder uneingeschränkten Zugriff auf die Post und habe da auch die Vorladung zur Konkursverhandlung gefunden (act. 2 Blatt 1 f.). Diese Behauptungen bleiben gänzlich unbelegt. Weder reicht die Schuldne- rin Belege ein, aus welchen sich entnehmen liesse, dass sie tatsächlich über einen elektronischen Briefkasten verfügt, noch belegt sie, dass es mit diesem zu Problemen gekommen wäre (beispielsweise mittel Reklamationsschreiben oder Korrespondenz bezüglich Problemlösung/-behebung). Ebenfalls wirft Fragen auf, dass die angebliche Problematik schon seit September 2021 bestanden haben soll, aber es erst im Januar 2022, mithin fünf Monate später, möglich gewesen sei, wieder auf die Post zuzugreifen. Weshalb dies derart lange gedauert hat, ist weder dargelegt, noch – mangels Unterlagen – ersichtlich. Die Behauptungen zur angeblichen Zustellproblematik sind mangels Belegen nicht weiter zu berücksich- tigen. 3.3.3 Ergänzend ist immerhin festzuhalten, dass der von der Schuldnerin behaup- tete Auftrag zur Führung eines elektronischen Briefkastens naturgemäss beding- te, dass sie die Betreiberin des elektronischen Briefkastens zur Entgegennahme ihrer brieflichen Post zwecks Verarbeitung bevollmächtigt haben muss. Bereits deshalb wäre der Behauptung, C._____ sei "der alleinige Unterschriftenberechti- ge" (womit sinngemäss wohl auch die Ermächtigung, Post für das Unternehmen entgegenzunehmen, gemeint sein dürfte) die Grundlage entzogen.</w:t>
      </w:r>
    </w:p>
    <w:p>
      <w:r>
        <w:t>- 5 - 3.3.4 Mit Blick auf all dies ist in Übereinstimmung mit den vorinstanzlichen Akten von der erfolgreichen Zustellung der Vorladung am 10. Dezember 2021 (act. 5/3) und vom Urteil am 24. Januar 2022 (act. 5/6) auszugehen. Die zehntägige Rechtsmittelfrist gegen das Urteil der Vorinstanz lief der Schuldnerin daher am</w:t>
      </w:r>
    </w:p>
    <w:p>
      <w:r>
        <w:rPr>
          <w:b/>
        </w:rPr>
        <w:t>E. 3</w:t>
      </w:r>
    </w:p>
    <w:p>
      <w:r>
        <w:t>Februar 2022 ab. Innert dieser Frist erfolgte die vorliegende Beschwerde. 4.1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 kann, selbst wenn diese erst nach dem erstinstanzlichen Entscheid eingetreten sind. 4.2 Im Rahmen ihrer Beschwerde bringt die Schuldnerin im Wesentlichen vor, die Gläubigerin mache ihr gegenüber zu hohe Forderungen geltend, ohne diese weiter begründet zu haben (act. 2 Blatt 2). Damit macht die Schuldnerin keinen der genannten Konkurshinderungsgründe geltend, und sie reicht auch keine dies- bezüglichen Dokumente ein. Entsprechend liegt keiner der gesetzlichen Kon- kurshinderungsgründe vor, was Voraussetzung für die Aufhebung des Konkurses wäre. 4.3 Die Beschwerde ist folglich abzuweisen.</w:t>
      </w:r>
    </w:p>
    <w:p>
      <w:r>
        <w:rPr>
          <w:b/>
        </w:rPr>
        <w:t>E. 5</w:t>
      </w:r>
    </w:p>
    <w:p>
      <w:r>
        <w:t>Die Schuldnerin bliebt der Vollständigkeit halber darauf hinzuweisen, dass ihre Ausführungen zur Frage des materiellen Bestandes der Forderung über die im Beschwerdeverfahren nach Art. 174 SchKG zulässigen Einwendungen hin- ausgehen und bereits im Einleitungsverfahren geltend zu machen gewesen wären (vgl. auch OGer ZH, PS210112, vom 19. Juli 2021, E. 2.5). Auf die weiteren Aus- führungen zur Auftragslage des Unternehmens, den angeblich nicht bestehenden</w:t>
      </w:r>
    </w:p>
    <w:p>
      <w:r>
        <w:t>- 6 - Fixkosten und der Höhe der aktuellen Schulden (act. 2 Blatt 2 f.) braucht ebenfalls nicht weiter eingegangen zu werden, da mangels eines Konkurshinderungs- grunds eine Prüfung der Zahlungsfähigkeit von Vornherein entfällt.</w:t>
      </w:r>
    </w:p>
    <w:p>
      <w:r>
        <w:rPr>
          <w:b/>
        </w:rPr>
        <w:t>E. 6</w:t>
      </w:r>
    </w:p>
    <w:p>
      <w:r>
        <w:t>Abschliessend ist die Schuldnerin auf Art. 195 SchKG hinzuweisen, wonach (frühestens nach Ende der Eingabefrist, vgl. Art. 195 Abs. 2 SchKG) die Möglich- keit eines nachträglichen Widerrufs des Konkurses durch das Konkursgericht be- steht, wenn nachgewiesen wird, dass sämtliche Forderungen (also auch die, für welche noch keine Betreibung eingeleitet wurde) beglichen sind oder von jedem Gläubiger eine schriftliche Erklärung über den Rückzug seiner Konkurseingabe vorliegt oder ein Nachlassvertrag zustande gekommen ist.</w:t>
      </w:r>
    </w:p>
    <w:p>
      <w:r>
        <w:rPr>
          <w:b/>
        </w:rPr>
        <w:t>E. 7</w:t>
      </w:r>
    </w:p>
    <w:p>
      <w:r>
        <w:t>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