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PS210224 vom 28. Januar 2022</w:t>
      </w:r>
    </w:p>
    <w:p>
      <w:r>
        <w:t>ZH Obergericht, 2022-01-28, DE</w:t>
      </w:r>
    </w:p>
    <w:p>
      <w:r>
        <w:rPr>
          <w:b/>
        </w:rPr>
        <w:t xml:space="preserve">Quelle: </w:t>
      </w:r>
      <w:r>
        <w:t>https://mcp.opencaselaw.ch/entscheid/zh_obergericht_PS210224</w:t>
      </w:r>
    </w:p>
    <w:p>
      <w:r>
        <w:t>FR: ZH_OBERGERICHT PS210224 du 28 janvier 2022</w:t>
      </w:r>
    </w:p>
    <w:p>
      <w:r>
        <w:t>IT: ZH_OBERGERICHT PS210224 del 28 gennaio 2022</w:t>
      </w:r>
    </w:p>
    <w:p>
      <w:pPr>
        <w:pStyle w:val="Heading2"/>
      </w:pPr>
      <w:r>
        <w:t>Erwägungen</w:t>
      </w:r>
    </w:p>
    <w:p>
      <w:r>
        <w:rPr>
          <w:b/>
        </w:rPr>
        <w:t>E. 5</w:t>
      </w:r>
    </w:p>
    <w:p>
      <w:r>
        <w:t>Der Vollständigkeit halber ist die Schuldnerin auf Art. 195 SchKG hinzuwei- sen, wonach (frühestens nach Ende der Eingabefrist, vgl. Art. 195 Abs. 2 SchKG) die Möglichkeit eines nachträglichen Widerrufs des Konkurses durch den Kon- kursrichter besteht, wenn nachgewiesen wird, dass sämtliche Forderungen (also auch die, für welche noch keine Betreibung eingeleitet wurde) beglichen sind oder von jedem Gläubiger eine schriftliche Erklärung über den Rückzug seiner Kon- kurseingabe vorliegt oder ein Nachlassvertrag zustande gekommen ist.</w:t>
      </w:r>
    </w:p>
    <w:p>
      <w:r>
        <w:t>- 13 -</w:t>
      </w:r>
    </w:p>
    <w:p>
      <w:r>
        <w:rPr>
          <w:b/>
        </w:rPr>
        <w:t>E. 6</w:t>
      </w:r>
    </w:p>
    <w:p>
      <w:r>
        <w:t>Ausgangsgemäss sind die Kosten des Beschwerdeverfahrens der Schuldne- rin aufzuerlegen (Art. 106 Abs. 1 ZPO). Eine Parteientschädigung für das Be- schwerdeverfahren ist nicht zuzusprechen; der Schuldnerin nicht aufgrund ihres Unterliegens, der Gläubigerin nicht mangels Umtrieben in diesem Verfahren.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