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PS210217 vom 2. September 2022</w:t>
      </w:r>
    </w:p>
    <w:p>
      <w:r>
        <w:t>ZH Obergericht, 2022-09-02, DE</w:t>
      </w:r>
    </w:p>
    <w:p>
      <w:r>
        <w:rPr>
          <w:b/>
        </w:rPr>
        <w:t xml:space="preserve">Quelle: </w:t>
      </w:r>
      <w:r>
        <w:t>https://mcp.opencaselaw.ch/entscheid/zh_obergericht_PS210217</w:t>
      </w:r>
    </w:p>
    <w:p>
      <w:r>
        <w:t>FR: ZH_OBERGERICHT PS210217 du 2 septembre 2022</w:t>
      </w:r>
    </w:p>
    <w:p>
      <w:r>
        <w:t>IT: ZH_OBERGERICHT PS210217 del 2 settembre 2022</w:t>
      </w:r>
    </w:p>
    <w:p>
      <w:pPr>
        <w:pStyle w:val="Heading2"/>
      </w:pPr>
      <w:r>
        <w:t>Erwägungen</w:t>
      </w:r>
    </w:p>
    <w:p>
      <w:r>
        <w:rPr>
          <w:b/>
        </w:rPr>
        <w:t>E. 1</w:t>
      </w:r>
    </w:p>
    <w:p>
      <w:r>
        <w:t>Die Gesuchstellerin, Schuldnerin und Beschwerdeführerin (nachfolgend Schuldnerin) erhob in der von der Gesuchsgegnerin, Gläubigerin und Beschwer- degegnerin (nachfolgend Gläubigerin) eingeleiteten Betreibung Nr. … Rechtsvor- schlag mit der Begründung fehlenden neuen Vermögens gemäss Art. 265a SchKG. Nachdem die Gläubigerin die Betreibung innert Frist nicht zurückgezogen hatte, überwies das Betreibungsamt den Zahlungsbefehl am 7. Dezember 2020 dem Einzelgericht des Bezirksgerichts Bülach (nachfolgend Vorinstanz). Aus dem entsprechenden Zahlungsbefehl geht eine Forderung von Fr. 7'874.95 zuzüglich Beitreibungskosten von Fr. 73.30 hervor (act. 6/1-2).</w:t>
      </w:r>
    </w:p>
    <w:p>
      <w:r>
        <w:rPr>
          <w:b/>
        </w:rPr>
        <w:t>E. 2</w:t>
      </w:r>
    </w:p>
    <w:p>
      <w:r>
        <w:t>Nachdem der Schuldnerin aufgrund ihres Gesuchs um Bewilligung der un- entgeltlichen Rechtspflege die Pflicht zur Leistung eines Kostenvorschusses einstweilen abgenommen worden war (act. 6/4; act. 6/11; act. 6/14) und die erste Hauptverhandlung vom 1. Juli 2021 aufgrund einer Verhandlungsunfähigkeit der Schuldnerin verschoben worden war (act. 6/16; act. 6/22-23), nahm nach Mittei- lung der Gläubigerin, nicht an der Hauptverhandlung teilzunehmen (act. 6/24), einzig die Schuldnerin an der Hauptverhandlung vom 4. August 2021 teil (Prot. Vi. S. 5 ff.).</w:t>
      </w:r>
    </w:p>
    <w:p>
      <w:r>
        <w:rPr>
          <w:b/>
        </w:rPr>
        <w:t>E. 3</w:t>
      </w:r>
    </w:p>
    <w:p>
      <w:r>
        <w:t>Mit Verfügung und Urteil vom 18. November 2021 in begründeter Fassung (act. 5 = act. 6/27, nachfolgend zitiert als act. 5) entschied die Vorinstanz wie folgt: Es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