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PS210216 vom 15. Dezember 2021</w:t>
      </w:r>
    </w:p>
    <w:p>
      <w:r>
        <w:t>ZH Obergericht, 2021-12-15, DE</w:t>
      </w:r>
    </w:p>
    <w:p>
      <w:r>
        <w:rPr>
          <w:b/>
        </w:rPr>
        <w:t xml:space="preserve">Quelle: </w:t>
      </w:r>
      <w:r>
        <w:t>https://mcp.opencaselaw.ch/entscheid/zh_obergericht_PS210216</w:t>
      </w:r>
    </w:p>
    <w:p>
      <w:r>
        <w:t>FR: ZH_OBERGERICHT PS210216 du 15 décembre 2021</w:t>
      </w:r>
    </w:p>
    <w:p>
      <w:r>
        <w:t>IT: ZH_OBERGERICHT PS210216 del 15 dicembre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Gläubigerin und Beschwerdegegnerin (fortan Gläubigerin) stellte gegen die Schuldnerin und Beschwerdeführerin (fortan Schuldnerin) in der Betrei- bung Nr. … des Betreibungsamtes Pfannenstil beim Einzelgericht des Bezirksge- richtes Meilen das Begehren um Eröffnung des Konkurses für eine Forderung von Fr. 614.55 nebst Zins zu 12 % seit 17. April 2021 zuzüglich Fr. 29.70 Verzugszins bis 16. April 2021, Fr. 75.– Mahngebühren und Fr. 217.05 Betreibungskosten ab- züglich einer Teilzahlung von Fr. 706.10 vom 8. August 2021, total Fr. 249.50 (act. 6/1-3 und 6/5). Am 16. November 2021 lud die Vorinstanz die Parteien auf den 12. Januar 2022, 9.00 Uhr, zur Verhandlung über das Konkursbegehren vor (act. 6/7). Mit Verfügung vom gleichen Tag setzte sie der Gläubigerin Frist zur Leistung eines Kostenvorschusses von Fr. 1'800.– für die Entscheidgebühr und die Durchführung des Konkurses an (act. 6/8).</w:t>
      </w:r>
    </w:p>
    <w:p>
      <w:r>
        <w:rPr>
          <w:b/>
        </w:rPr>
        <w:t>E. 2</w:t>
      </w:r>
    </w:p>
    <w:p>
      <w:r>
        <w:t>Mit Eingabe vom 3. Dezember 2021 (Datum Poststempel) erhob die Schuldnerin "Einsprache" gegen die Vorladung und legte dar, weshalb sie die dem Konkursbegehren zugrunde liegende Forderung ihrer Ansicht nach vollstän- dig beglichen habe (act. 2).</w:t>
      </w:r>
    </w:p>
    <w:p>
      <w:r>
        <w:rPr>
          <w:b/>
        </w:rPr>
        <w:t>E. 3</w:t>
      </w:r>
    </w:p>
    <w:p>
      <w:r>
        <w:t>A., Art. 124 N 3 f.; Kaufmann, DIKE-Komm-ZPO, 2. A., Art. 124 N 6). Solche Verfügungen sind mit Beschwerde anfechtbar, wenn es das Gesetz vorsieht, oder wenn ein nicht leicht wiedergutzumachender Nachteil rechtlicher oder tatsächli- cher Art droht (Art. 319 lit. b Ziff. 1 und 2 ZPO). Eine gesetzliche Bestimmung, wonach die Festsetzung eines Verhandlungstermins der Beschwerde unterläge (Art. 319 lit. b Ziff. 1 ZPO), besteht nicht. Damit bedürfte es eines nicht leicht wie- dergutzumachenden Nachteils, damit die Verfügung mit Beschwerde anfechtbar wäre (Art. 319 lit. b Ziff. 2 ZPO). Einen solchen hätte die Schuldnerin zu behaup- ten und nachzuweisen, was sie unterlässt. Es ist denn auch nicht ersichtlich, wo- rin dieser liegen sollte, bietet doch die Verhandlung der Schuldnerin Gelegenheit, ihre Einwände gegen die Konkursforderung vorzubringen. Mit anderen Worten</w:t>
      </w:r>
    </w:p>
    <w:p>
      <w:r>
        <w:t>- 3 - wurden ihre rechtlichen Interessen durch die Vorladung nicht etwa verletzt, son- dern im Gegenteil gerade gewahrt. Anzumerken ist aber, dass dem Konkursrichter die Überprüfung des Be- standes der Forderung verwehrt bleibt. Die Schuldnerin kann die Konkurseröff- nung abwenden, wenn sie bis zu Verhandlung eine schriftliche Rückzugserklä- rung der Gläubigerin bei der Vorinstanz einreicht, oder wenn sie spätestens in der Verhandlung durch Urkunden beweist, dass die Schuld samt Zinsen und Betrei- bungskosten getilgt ist, die Gläubigerin ihr Stundung gewährt hat oder andere Gründe nach Art. 172-173a SchKG der Konkurseröffnung entgegen stehen. Fer- ner hat sie die durch das Konkursbegehren entstandenen Gerichtskosten von Fr. 250.-- bei der Gerichtskanzlei bis zum Verhandlungstermin bar zu bezahlen, ansonsten der Konkurs dennoch eröffnet würde (Art.172 ff. SchKG; vgl. auch Ziff. 4 der "Wichtigen Hinweise" in der Vorladung). Demzufolge ist auf die Beschwerde gegen die Vorladung nicht einzutreten.</w:t>
      </w:r>
    </w:p>
    <w:p>
      <w:r>
        <w:rPr>
          <w:b/>
        </w:rPr>
        <w:t>E. 4</w:t>
      </w:r>
    </w:p>
    <w:p>
      <w:r>
        <w:t>Umständehalber ist von einer Kostenauflage an die Schuldnerin abzu- sehen. Mangels Umtrieben ist der Gläubigerin keine Entschädigung zuzuspre- chen.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