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PS210213 vom 14. Januar 2022</w:t>
      </w:r>
    </w:p>
    <w:p>
      <w:r>
        <w:t>ZH Obergericht, 2022-01-14, DE</w:t>
      </w:r>
    </w:p>
    <w:p>
      <w:r>
        <w:rPr>
          <w:b/>
        </w:rPr>
        <w:t xml:space="preserve">Quelle: </w:t>
      </w:r>
      <w:r>
        <w:t>https://mcp.opencaselaw.ch/entscheid/zh_obergericht_PS210213</w:t>
      </w:r>
    </w:p>
    <w:p>
      <w:r>
        <w:t>FR: ZH_OBERGERICHT PS210213 du 14 janvier 2022</w:t>
      </w:r>
    </w:p>
    <w:p>
      <w:r>
        <w:t>IT: ZH_OBERGERICHT PS210213 del 14 gennaio 2022</w:t>
      </w:r>
    </w:p>
    <w:p>
      <w:pPr>
        <w:pStyle w:val="Heading2"/>
      </w:pPr>
      <w:r>
        <w:t>Erwägungen</w:t>
      </w:r>
    </w:p>
    <w:p>
      <w:r>
        <w:rPr>
          <w:b/>
        </w:rPr>
        <w:t>E. 2</w:t>
      </w:r>
    </w:p>
    <w:p>
      <w:r>
        <w:t>Gegen diesen Entscheid erhob der Beschwerdeführer mit Eingabe vom 27. November 2021 (Datum Poststempel: 30. November 2021) rechtzeitig Be- schwerde beim Obergericht als obere kantonale Aufsichtsbehörde über Schuldbe- treibung und Konkurs (act. 7; vgl. zur Rechtzeitigkeit act. 4/2). Die vorinstanzlichen Akten wurden beigezogen (act. 1–4). Vom Einholen einer Beschwerdeantwort bzw. einer Vernehmlassung kann abgesehen werden (Art. 20a Abs. 3 SchKG i.V.m. Art. 322 Abs. 1 sowie Art. 324 ZPO bzw. § 83 Abs. 2 GOG/ZH). Das Verfahren ist spruchreif. 3.1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3.2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an-</w:t>
      </w:r>
    </w:p>
    <w:p>
      <w:r>
        <w:t>- 4 -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Februar 2011, E. 3.4; PS180175, Urteil vom 18. Dezember 2018, E. 4.3). 4.1 Die Beschwerdeschrift des Beschwerdeführers erscheint insgesamt schwer verständlich. Es ergibt sich immerhin, dass der Beschwerdeführer erneut – wie bereits vor Vorinstanz – geltend macht, dass der "Unterhalt … direkt vom Lohn abgezogen" worden sei und dass er entsprechende Belege habe. Er habe mithin alle Beweise vorgelegt, damit die Betreibungen gelöscht werden könnten. Zudem sei klar, dass die Zuständigkeit der Vorinstanz gegeben sei (act. 7). 4.2.1 Die Vorinstanz hatte – wie gezeigt – sorgfältig ausgeführt, weshalb sie hin- sichtlich materieller Einwände gegen die in Betreibung gesetzten Forderungen nicht zuständig sei, und zudem darauf hingewiesen, unter welchen Vorausset- zungen eine Nichtbekanntgabe der Betreibung im vorliegenden Fall in Anwen- dung von Art. 8a Abs. 3 SchKG möglich sei (vgl. hiervor E. 1.3). Diesen Erwägun- gen setzt der Beschwerdeführer nichts entgegen und es ist insbesondere nicht erkennbar, inwiefern er der Vorinstanz konkret eine falsche Rechtsanwendung oder eine offensichtlich falsche Sachverhaltsfeststellung vorwirft. Soweit man eine solche Sachverhaltsrüge allenfalls in dem sinngemässen Vorbringen erkennen will, wonach die Vorinstanz sich zu wenig mit den Unterlagen bezüglich des Ab- zuges von Unterhalt von seinem Lohn auseinandergesetzt habe, kann dem von vorneherein nicht gefolgt werden. So würdigte die Vorinstanz diese Behauptung insofern, als sie darauf hinwies, materielle Einwendungen gegen die Verlust- scheine seien mit einer Klage nach Art. 85a SchKG geltend zu machen, womit die diesbezüglichen Unterlagen aus Sicht der Vorinstanz auch nicht weiter von Be- lang waren. Inwiefern dieser Schluss der Vorinstanz falsch sein soll, tut der Be- schwerdeführer nicht dar. 4.2.2 Ohnehin ist der Beschwerdeführer – soweit er in der Beschwerde erneut die Löschung der Betreibungen verlangt – darauf hinzuweisen, dass eine Zahlung</w:t>
      </w:r>
    </w:p>
    <w:p>
      <w:r>
        <w:t>- 5 - von in Betreibung gesetzten Forderung nicht automatisch zu deren Löschung im Betreibungsregister bzw. Nichtbekanntgabe führt. Eine Nichtbekanntgabe erfolgt einzig unter den in Art. 8a Abs. 3 SchKG genannten, alternativen Voraussetzun- gen. Inwiefern eine dieser Voraussetzungen hier erfüllt ist, ist nicht dargetan und nicht ersichtlich. Insbesondere genügt der pauschale, noch vor Vorinstanz erho- bene Vorwurf, die Betreibungen seien willkürlich erfolgt, nicht, um eine dieser Vor- aussetzungen zu bejahen. Darauf wies bereits die Vorinstanz zu Recht hin. 4.2.3 Soweit der Beschwerdeführer im Rahmen seiner Beschwerde sodann an einer Stelle ausführt, in "Bezug auf die Betreibung von Kanton Schwyz hat das Bezirksgericht vergessen zu erwähnen, dass alles passiert ist aufgrund von Be- fangenheit" und dass die "Kosten nicht zu stellen" seien, sondern er nach Art. 123 ZPO erst zur Nachzahlung verpflichtet sei, wenn er dazu in der Lage sei (act. 6 Blatt 2), und dass er vom "Kantonsgericht Schwyz" keinen Anwalt erhalten habe (act. 6 Blatt 3 unten), ist nicht klar, was er damit in Bezug auf das vorliegende Verfahren geltend machen will. Zudem handelt es sich ohnehin – mit Blick auf seine vorinstanzliche Eingabe (act. 1) – um neue Vorbringen, welche nicht be- achtlich sind. Der Vollständigkeit halber ist immerhin darauf hinzuweisen, dass eine Be- treibung mit der Nummer 2 für eine Forderung des Kantons Schwyz, vertreten durch die Kantonsgerichtskasse, mit dem Grund "Rückerstattungsanspruch un- entgeltliche Rechtspflege gemäss Entscheid vom 9. Dezember 2013 (Proz. Nr. ZK2 12 70)" Gegenstand des vor der Kammer geführten Beschwerdeverfah- rens mit der Verfahrens Nr. PS210215 war. In diesem Verfahren erging am</w:t>
      </w:r>
    </w:p>
    <w:p>
      <w:r>
        <w:rPr>
          <w:b/>
        </w:rPr>
        <w:t>E. 3</w:t>
      </w:r>
    </w:p>
    <w:p>
      <w:r>
        <w:t>Januar 2022 ein Entscheid. 4.2.4 Der Beschwerdeführer gibt sodann in seiner Beschwerde den teilweisen Wortlaut von Art. 17 SchKG und von Art. 320 ZPO wieder und zählt pauschal mögliche Beschwerdegründe auf, zudem zitiert er auch weitere Verfassungs- bzw. Gesetzesbestimmungen (Art. 29 BV, Art. 52 f. ZPO, Art. 33 VwVG), ohne darzutun, was er daraus für seinen Standpunkt ableitet. Auf diese Ausführungen des Beschwerdeführers braucht bereits deshalb nicht weiter eingegangen zu wer- den.</w:t>
      </w:r>
    </w:p>
    <w:p>
      <w:r>
        <w:t>- 6 - 4.3 Nach dem Gesagten ist auf die Beschwerde insgesamt nicht einzutreten. 5.1 Das Verfahren vor der oberen kantonalen Aufsichtsbehörde in Schuldbetrei- bungs- und Konkurssachen ist kostenlos (Art. 20a Abs. 2 Ziff. 5 SchKG). Partei- entschädigungen sind nicht auszurichten (Art. 62 Abs. 2 GebV SchKG). 5.2 Das vom Beschwerdeführer gestellte Gesuch um Bewilligung der unentgelt- lichen Rechtspflege für das Beschwerdeverfahren (act. 6 Blatt 5) ist gegenstands- los und abzuschreiben, da wie gezeigt keine Kosten erhoben werden. Zudem ver- fügt er über keinen Rechtsbeistand, der zu entschädigen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