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PS210139 vom 30. August 2021</w:t>
      </w:r>
    </w:p>
    <w:p>
      <w:r>
        <w:t>ZH Obergericht, 2021-08-30, DE</w:t>
      </w:r>
    </w:p>
    <w:p>
      <w:r>
        <w:rPr>
          <w:b/>
        </w:rPr>
        <w:t xml:space="preserve">Quelle: </w:t>
      </w:r>
      <w:r>
        <w:t>https://mcp.opencaselaw.ch/entscheid/zh_obergericht_PS210139</w:t>
      </w:r>
    </w:p>
    <w:p>
      <w:r>
        <w:t>FR: ZH_OBERGERICHT PS210139 du 30 août 2021</w:t>
      </w:r>
    </w:p>
    <w:p>
      <w:r>
        <w:t>IT: ZH_OBERGERICHT PS210139 del 30 agosto 2021</w:t>
      </w:r>
    </w:p>
    <w:p>
      <w:pPr>
        <w:pStyle w:val="Heading2"/>
      </w:pPr>
      <w:r>
        <w:t>Erwägungen</w:t>
      </w:r>
    </w:p>
    <w:p>
      <w:r>
        <w:rPr>
          <w:b/>
        </w:rPr>
        <w:t>E. 1.1</w:t>
      </w:r>
    </w:p>
    <w:p>
      <w:r>
        <w:t>Mit Eingabe vom 31. Mai 2021 reichte der Beschwerdeführer beim Be- zirksgericht Hinwil als untere kantonale Aufsichtsbehörde über die Betreibungs- ämter (nachfolgend Vorinstanz) eine Beschwerde ein gegen die Verfügung des Betreibungsamts B._____ vom 19. Mai 2021. In dieser wurde dem Beschwerde- führer mitgeteilt, dass der von ihm erhobene Rechtsvorschlag in der Betreibung Nr. 1 verspätet erfolgt sei (vgl. act. 1-3). Die Vorinstanz wies die Beschwerde mit Urteil vom 5. Juli 2021 ab (vgl. act. 12). Dagegen erhob der Beschwerdeführer am 26. Juli 2021 rechtzeitig Beschwerde beim Obergericht als obere kantonale Auf- sichtsbehörde über Schuldbetreibung und Konkurs und beantragte, seine vo- rinstanzliche Beschwerde sei gutzuheissen und der von ihm erhobene Rechtsvor- schlag sei als rechtzeitig eingegangen zu betrachten (vgl. act. 13; zur Rechtzeitig- keit vgl. act. 10). Die vorinstanzlichen Akten wurden beigezogen (act. 1-10). Von der Einholung einer Beschwerdeantwort bzw. einer Vernehmlassung kann abge- sehen werden (vgl. § 18 EG SchKG i.V.m. § 84 GOG i.V.m. Art. 322 und Art. 324 ZPO). Das Verfahren ist spruchreif.</w:t>
      </w:r>
    </w:p>
    <w:p>
      <w:r>
        <w:rPr>
          <w:b/>
        </w:rPr>
        <w:t>E. 1.2</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(Art. 320 ZPO).</w:t>
      </w:r>
    </w:p>
    <w:p>
      <w:r>
        <w:rPr>
          <w:b/>
        </w:rPr>
        <w:t>E. 2.1</w:t>
      </w:r>
    </w:p>
    <w:p>
      <w:r>
        <w:t>Will der Betriebene Rechtsvorschlag erheben, so hat er dies sofort dem Überbringer des Zahlungsbefehls oder innert zehn Tagen nach der Zustellung dem Betreibungsamt mündlich oder schriftlich zu erklären (Art. 74 Abs. 1 SchKG). Die zehntägige Frist ist gewahrt, wenn der Rechtsvorschlag spätestens am letzten Tag der Frist beim Betreibungsamt eingereicht oder zu dessen Handen der schweizerischen Post übergeben wird (vgl. Art. 31 SchKG i.V.m. Art. 143 Abs. 1</w:t>
      </w:r>
    </w:p>
    <w:p>
      <w:r>
        <w:t>- 3 - ZPO). Der Beweis des Erhebens des Rechtsvorschlages und der Fristeinhaltung ist dem Schuldner auferlegt (BSK SchKG I-Bessenich, 2. Aufl. 2010, Art. 74 N 27).</w:t>
      </w:r>
    </w:p>
    <w:p>
      <w:r>
        <w:rPr>
          <w:b/>
        </w:rPr>
        <w:t>E. 2.2</w:t>
      </w:r>
    </w:p>
    <w:p>
      <w:r>
        <w:t>Es ist unbestritten, dass der Zahlungsbefehl dem Beschwerdeführer am</w:t>
      </w:r>
    </w:p>
    <w:p>
      <w:r>
        <w:rPr>
          <w:b/>
        </w:rPr>
        <w:t>E. 2.3</w:t>
      </w:r>
    </w:p>
    <w:p>
      <w:r>
        <w:t>Die Vorinstanz folgerte aus diesen Umständen, dass der Beschwerdefüh- rer den Rechtsvorschlag am Dienstag, 18. Mai 2021, irgendwann ab ca. 13.30 Uhr in den Briefkasten der Stadtverwaltung gelegt haben muss, da der Briefkas- ten am Tag nach dem behaupteten Einwurf (dieser erfolgte gemäss Beschwerde- führer rechtzeitig am 17. Mai 2021) um 7.45 Uhr und um 13.30 Uhr geleert und dabei offensichtlich kein Rechtsvorschlag vorgefunden worden sei. Der Be- schwerdeführer trage als Absender die Beweislast dafür, dass er den Rechtsvor- schlag am 17. Mai 2021 vor Mitternacht in den Briefkasten der Stadtverwaltung geworfen habe. Dies habe er nicht nachweisen können. Es wäre ihm zumutbar gewesen, innerhalb der zehntägigen Frist einen Postschalter aufzusuchen und den Rechtsvorschlag dort aufzugeben. Mit dem Datum des Poststempels hätte der Nachweis der Fristwahrung leicht erbracht werden können. Wenn der Be- schwerdeführer es stattdessen vorgezogen habe, den Rechtsvorschlag zwei Stunden vor Ablauf der Frist einfach in den Briefkasten zu werfen, so erscheine es auch als sachgerecht, ihn die Folgen der Beweislosigkeit tragen zu lassen (vgl. act. 12 E. 3.3.).</w:t>
      </w:r>
    </w:p>
    <w:p>
      <w:r>
        <w:rPr>
          <w:b/>
        </w:rPr>
        <w:t>E. 2.4</w:t>
      </w:r>
    </w:p>
    <w:p>
      <w:r>
        <w:t>Der Beschwerdeführer wendet ein, er sei sich zu 100 % sicher, den Brief mit dem Rechtsvorschlag am Montagabend nach seiner Rückkehr nach Hause in den allgemeinen Briefkasten der Gemeinde B._____ geworfen zu haben, welcher Briefkasten auch als "Empfänger" der Post an das Betreibungsamt B._____ die- ne. Was danach bei der Leerung des Briefkastens geschehen sei, könne er nur vermuten. Der fragliche Briefkasten im öffentlich zugänglichen Eingangsbereich</w:t>
      </w:r>
    </w:p>
    <w:p>
      <w:r>
        <w:t>- 4 - des Gemeindehauses enthalte sämtliche persönlich eingeworfenen Sendungen an die Gemeinde und deren Verwaltungsabteilungen. Es sei möglich, dass sein Brief in eine andere Sendung gerutscht und deshalb vom Gemeindeweibel ohne sein Wissen in eine nicht zuständige Abteilung geliefert worden sei. Der "falsche" Empfänger könnte dann den Brief am 18. Mai 2021 oder bei Feierabend in den allgemeinen Briefkasten zurückgelegt haben, da das Betreibungsamt eventuell bereits geschlossen und eine persönlich Abgabe beim richtigen Empfänger ver- unmöglicht gewesen sei. Es wäre sehr stossend, falls es bei einer rechtzeitig und persönlich eingeworfenen Briefsendung nicht gewährleistet sei, dass diese ihren Empfänger fristgerecht erreiche. Falls trotz grosser Sorgfalt doch einmal eine Fehlzustellung erfolgen sollte, dürfe dies dem Absender nicht vorgeworfen wer- den, da sich diese Vorgänge ausserhalb seines Einflussbereiches abspielten und er auf die korrekte Weiterleitung seines Schreibens vertrauen dürfe, da er dieses im offiziell dafür vorgesehenen Briefkasten abgelegt habe. Seit Bestehen der Postagenturen in Partnergeschäften der Post sei es für den Absender auch nicht mehr ersichtlich, ob und wann der von ihm dort abgegebene Brief gestempelt werde, da dies nicht mehr vor Ort geschehe. Deshalb sei ein persönlicher Einwurf in den entsprechenden Briefkasten des Betreibungsamtes der Postaufgabe vor- zuziehen (vgl. act. 13).</w:t>
      </w:r>
    </w:p>
    <w:p>
      <w:r>
        <w:rPr>
          <w:b/>
        </w:rPr>
        <w:t>E. 2.5</w:t>
      </w:r>
    </w:p>
    <w:p>
      <w:r>
        <w:t>Mit diesen Ausführungen bringt der Beschwerdeführer keine überzeugen- den Argumente vor, warum hier die Beweislast für die Fristeinhaltung nicht bei ihm als Schuldner liegen soll. Die Möglichkeit, dass ein Brief bei Einwurf in einen offiziellen Briefkasten des Betreibungsamts bzw. bei normaler Aufgabe in einer Poststelle einen falschen Datumsstempel erhält oder gar verloren geht, rechtfer- tigt es nicht, den Schuldner von der Beweislast für die Fristeinhaltung zu befreien. Er hat nämlich die Möglichkeit, den Brief mit dem Rechtsvorschlag eingeschrie- ben zu verschicken und eine entsprechende Quittung über die rechtzeitige Über- gabe an die Post zu erhalten. Wählt er eine andere Variante, ist es sachgerecht, ihn die Folgen der Beweislosigkeit tragen zu lassen. Mit seinen Ausführungen ge- lingt dem Beschwerdeführer sodann kein Nachweis, dass er den Brief mit dem Rechtsvorschlag am 17. Mai 2021 in der Briefkasten der Gemeinde B._____ ge- worfen hat. Er erwähnt keine objektiven Anhaltspunkte, welche für den Briefein-</w:t>
      </w:r>
    </w:p>
    <w:p>
      <w:r>
        <w:t>- 5 - wurf am 17. Mai 2021 sprechen würden, insbesondere erwähnt er auch keine Personen, die den Einwurf an diesem Datum bezeugen könnten. Vielmehr be- schränkt er sich auf Vermutungen, wie ein am 17. Mai 2021 in den offiziellen Briefkasten der Stadtverwaltung eingeworfener Brief erst am 19. Mai 2021 beim Betreibungsamt angekommen sein könnte. Im Ergebnis hat die Vorinstanz die Beschwerde zu Recht abgewiesen und es ist auch die Beschwerde an die obere kantonale Aufsichtsbehörde abzuweisen. 3. Das Beschwerdeverfahren ist kostenlos (Art. 20a Abs. 2 Ziff. 5 SchKG und Art. 61 Abs. 2 GebV SchKG). Parteientschädigungen sind nicht zuzusprechen (Art. 62 GebV SchKG). Es wird erkannt:</w:t>
      </w:r>
    </w:p>
    <w:p>
      <w:r>
        <w:rPr>
          <w:b/>
        </w:rPr>
        <w:t>E. 6</w:t>
      </w:r>
    </w:p>
    <w:p>
      <w:r>
        <w:t>Mai 2021 persönlich übergeben wurde (vgl. act. 3 S. 2), womit die Frist für die Erhebung des Rechtsvorschlags am Montag, 17. Mai 2021, um 24.00 Uhr endete (vgl. Art. 142 Abs. 1 und 3 ZPO). Es steht weiter fest, dass der Rechtsvorschlag erst am Mittwochmorgen, 19. Mai 2021, im Briefkasten der Stadtverwaltung vor- gefunden und in das Fach des Betreibungsamts gelegt wurde (vgl. act.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