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PS210124 vom 16. Juli 2021</w:t>
      </w:r>
    </w:p>
    <w:p>
      <w:r>
        <w:t>ZH Obergericht, 2021-07-16, DE</w:t>
      </w:r>
    </w:p>
    <w:p>
      <w:r>
        <w:rPr>
          <w:b/>
        </w:rPr>
        <w:t xml:space="preserve">Quelle: </w:t>
      </w:r>
      <w:r>
        <w:t>https://mcp.opencaselaw.ch/entscheid/zh_obergericht_PS210124</w:t>
      </w:r>
    </w:p>
    <w:p>
      <w:r>
        <w:t>FR: ZH_OBERGERICHT PS210124 du 16 juillet 2021</w:t>
      </w:r>
    </w:p>
    <w:p>
      <w:r>
        <w:t>IT: ZH_OBERGERICHT PS210124 del 16 luglio 2021</w:t>
      </w:r>
    </w:p>
    <w:p>
      <w:pPr>
        <w:pStyle w:val="Heading2"/>
      </w:pPr>
      <w:r>
        <w:t>Erwägungen</w:t>
      </w:r>
    </w:p>
    <w:p>
      <w:r>
        <w:rPr>
          <w:b/>
        </w:rPr>
        <w:t>E. 3</w:t>
      </w:r>
    </w:p>
    <w:p>
      <w:r>
        <w:t>Der Vollständigkeit halber ist der Schuldner auf Art. 195 SchKG hinzuwei- sen, wonach (frühestens nach Ende der Eingabefrist, vgl. Art. 195 Abs. 2 SchKG) die Möglichkeit eines nachträglichen Widerrufs des Konkurses durch den Kon- kursrichter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 4.1. Der Schuldner stellt für das Rechtsmittelverfahren ein Gesuch um unentgelt- liche Rechtspflege. Wie die vorstehenden Erwägungen zeigen (E. 2.2.), erweist sich das Rechtsmittel als aussichtslos. Das Gesuch um unentgeltliche Rechts- pflege ist daher abzuweisen. 4.2. Ausgangsgemäss sind die Prozesskosten dem Schuldner aufzuerlegen (Art. 106 Abs. 1 ZPO). Parteientschädigungen sind nicht zuzusprechen; dem</w:t>
      </w:r>
    </w:p>
    <w:p>
      <w:r>
        <w:t>- 4 - Schuldner nicht, weil er unterliegt, der Gläubigerin nicht, weil ihr in diesem Verfah- ren keine entschädigungspflichtigen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