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PS210095 vom 3. Juni 2021</w:t>
      </w:r>
    </w:p>
    <w:p>
      <w:r>
        <w:t>ZH Obergericht, 2021-06-03, DE</w:t>
      </w:r>
    </w:p>
    <w:p>
      <w:r>
        <w:rPr>
          <w:b/>
        </w:rPr>
        <w:t xml:space="preserve">Quelle: </w:t>
      </w:r>
      <w:r>
        <w:t>https://mcp.opencaselaw.ch/entscheid/zh_obergericht_PS210095</w:t>
      </w:r>
    </w:p>
    <w:p>
      <w:r>
        <w:t>FR: ZH_OBERGERICHT PS210095 du 3 juin 2021</w:t>
      </w:r>
    </w:p>
    <w:p>
      <w:r>
        <w:t>IT: ZH_OBERGERICHT PS210095 del 3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hat am 2. Juni 2021 (Datum Eingang) eine Schutz- schrift eingereicht. Er befürchtet, einer allfälligen Beschwerde des Beschwerde- gegners gegen den Zirkulationsbeschluss des Bezirksgerichtes Zürich, 1. Abtei- lung, als untere kantonale Aufsichtsbehörde über Betreibungsämter vom 27. Mai 2021 (CB200172-L/U) könnte superprovisorisch die aufschiebende Wirkung erteilt werden.</w:t>
      </w:r>
    </w:p>
    <w:p>
      <w:r>
        <w:rPr>
          <w:b/>
        </w:rPr>
        <w:t>E. 2</w:t>
      </w:r>
    </w:p>
    <w:p>
      <w:r>
        <w:t>Die Eingabe ist als Schutzschrift im Sinne von Art. 270 ZPO entgegen zu nehmen, während 6 Monaten aufzubewahren und im Falle der Einleitung des ent- sprechenden Verfahrens innerhalb dieser Frist zu beachten (Art. 270 Abs. 1 und 3 ZPO).</w:t>
      </w:r>
    </w:p>
    <w:p>
      <w:r>
        <w:rPr>
          <w:b/>
        </w:rPr>
        <w:t>E. 3</w:t>
      </w:r>
    </w:p>
    <w:p>
      <w:r>
        <w:t>Juni 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