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PS210092 vom 11. Juni 2021</w:t>
      </w:r>
    </w:p>
    <w:p>
      <w:r>
        <w:t>ZH Obergericht, 2021-06-11, DE</w:t>
      </w:r>
    </w:p>
    <w:p>
      <w:r>
        <w:rPr>
          <w:b/>
        </w:rPr>
        <w:t xml:space="preserve">Quelle: </w:t>
      </w:r>
      <w:r>
        <w:t>https://mcp.opencaselaw.ch/entscheid/zh_obergericht_PS210092</w:t>
      </w:r>
    </w:p>
    <w:p>
      <w:r>
        <w:t>FR: ZH_OBERGERICHT PS210092 du 11 juin 2021</w:t>
      </w:r>
    </w:p>
    <w:p>
      <w:r>
        <w:t>IT: ZH_OBERGERICHT PS210092 del 11 giugno 2021</w:t>
      </w:r>
    </w:p>
    <w:p>
      <w:pPr>
        <w:pStyle w:val="Heading2"/>
      </w:pPr>
      <w:r>
        <w:t>Erwägungen</w:t>
      </w:r>
    </w:p>
    <w:p>
      <w:r>
        <w:rPr>
          <w:b/>
        </w:rPr>
        <w:t>E. 2</w:t>
      </w:r>
    </w:p>
    <w:p>
      <w:r>
        <w:t>Für das Beschwerdeverfahren nach Art. 18 SchKG sind die Regelungen von Art. 319 ff. ZPO anwendbar (Art. 20a Abs. 3 SchKG i.V.m. § 18 EG SchKG i.V.m</w:t>
      </w:r>
    </w:p>
    <w:p>
      <w:r>
        <w:t>- 3 -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3.1.1. Der Beschwerdeführer bringt in seiner Beschwerde vor, obwohl Kran- kenkassen privatrechtliche Unternehmen seien, würden sie Aufträge des öffentli- chen Rechts ausführen, weshalb ihre Forderungen gemäss Art. 43 SchKG von einer Konkursbetreibung ausgeschlossen seien (act. 13 Ziff. 1). 3.1.2. Die Vorinstanz erwog, gemäss Art. 43 Ziff. 1 SchKG sei die Konkursbe- treibung in jedem Fall ausgeschlossen für Steuern, Abgaben, Gebühren, Sporteln, Bussen und andere im öffentlichen Recht begründete Leistungen an öffentliche Kassen oder Beamte. Nach ständiger Rechtsprechungen müssten hier zwei Vor- aussetzungen kumulativ erfüllt sein, damit sich ein Schuldner auf diese Bestim- mung berufen könne: Einerseits müsse die in Betreibung gesetzte Forderung ih- ren Rechtsgrund im öffentlichen Recht haben und andererseits müsse der Gläu- biger eine Anstalt des öffentlichen Rechts sein. Rechtssubjekte des Privatrechts wie die vorliegende … Krankenversicherung als privatrechtliche Aktiengesell- schaft nach Art. 620 ff. OR würden nicht unter die Ausnahmebestimmung von Art. 43 Ziff. 1 SchKG fallen, selbst wenn es sich um Forderungen handeln sollte, die im öffentlichen Recht begründet seien, wie dies z.B. bei Krankrenkassenprä-</w:t>
      </w:r>
    </w:p>
    <w:p>
      <w:r>
        <w:t>- 4 - mien der Fall sei (act. 12 E. 4.1 mit Verweis auf BGE 139 III 290 E. 2.1.1 und BGE 125 III 250 E. 2). 3.1.3. Mit diesen Erwägungen setzt sich der Beschwerdeführer nicht ausei- nander. Er legt nicht einmal in rudimentärer Weise dar, inwiefern die Vorinstanz ihrer Auffassung nach das Recht unrichtig angewendet oder den Sachverhalt un- zutreffend festgestellt haben soll. Vielmehr wiederholt er einzig und pauschal – ohne jegliche Bezugnahme zum Entscheid – seinen bereits vor Vorinstanz vorge- tragenen Standpunkt, wonach nach seiner Auffassung Forderungen von Kran- kenkassen unter Art. 43 Ziff. 1 SchKG fallen. Dabei zeigt er nicht auf, weshalb die vorinstanzlichen Erwägungen falsch bzw. die zitierte bundesgerichtliche Recht- sprechung hier nicht einschlägig sein sollte. Damit genügt die Beschwerdebe- gründung selbst den für Laien herabgesetzten gesetzlichen Anforderungen nicht. Auf die Beschwerde ist in diesem Punkt nicht einzutreten. 3.2.1. Weiter macht der Beschwerdeführer geltend, die Betreibungen Nr. 7, 8 und 10 seien zu 56% bereits bezahlt (act. 13 Ziff. 2). Die Betreibungen Nr. 1 und 2 seien zudem mit der Betreibung Nr. 14 verknüpft und es bestehe eine Abzah- lungsvereinbarung, wobei bereits 93% bezahlt sei (act. 13 Ziff. 3) 3.2.2. Die Vorinstanz erwog, es erschliesse sich ihr nicht, was der Beschwer- deführer aus dem Hinweis auf laufende Teilzahlungsvereinbarung bzw. mit der behaupteten Verknüpfung mit der Betreibung Nr. 14 zu seinen Gunsten ableiten wolle. Auf die Beschwerde sei daher mangels hinreichender Begründung nicht einzutreten. Eventualiter sei die Beschwerde abzuweisen, einerseits da sämtliche mit der jeweiligen Pfändung verbundenen Anzeigen infolge Nichtigkeit der jeweili- gen Betreibung auf Pfändung ohnehin gegenstandslos und gelöscht worden sei- en. Andererseits würden die Betreibungen Nr. 1 und 2 Forderungen einer Privat- person betreffen und somit von Vornherein nicht von der Konkursbetreibung aus- geschlossen sein. Das Vorgehen des Betreibungsamtes, die Betreibungen Nr. 1 und 2 unter einer neuen Nummer auf dem Weg der Konkursbetreibung fortzufüh- ren, wäre somit aufsichtsrechtlich nicht zu beanstanden (act. 12 E. 4.3).</w:t>
      </w:r>
    </w:p>
    <w:p>
      <w:r>
        <w:t>- 5 - 3.2.3. Auch mit diesen Erwägungen setzt sich der Beschwerdeführer in keiner Weise auseinander, sondern wiederholt bloss seinen bereits vor Vorinstanz vor- getragenen Standpunkt. Dabei ist auch im Beschwerdeverfahren nicht ersichtlich, was der Beschwerdeführer aus den behaupteten Teilzahlungen zu seinen Guns- ten abzuleiten versucht. Die blosse Wiederholung der eigenen Vorbringen genügt den Anforderungen an eine Beschwerdebegründung nicht. Auf die Beschwerde ist auch in diesem Punkt nicht einzutreten. Der Beschwerdeführer ist darauf hinzuweisen, dass eine allfällige – hier nicht be- hauptete – vollständige Tilgung einer Betreibungsforderung von ihm auch im Rahmen des Konkursbetreibungsverfahrens nachgewiesen werden könnte. 3.3. Schliesslich macht der Beschwerdeführer geltend, das Betreibungsamt sei über die Gründung seines Einzelunternehmens mündlich und schriftlich mit vielen E-Mails orientiert gewesen (act. 13 S. 2). Diese Behauptung ist im Beschwerde- verfahren einerseits neu und damit verspätet und andererseits gänzlich unbelegt, weshalb sich Weiterungen dazu erübrigen. 3.4. Nach dem Gesagten ist auf die Beschwerde nicht einzutreten.</w:t>
      </w:r>
    </w:p>
    <w:p>
      <w:r>
        <w:rPr>
          <w:b/>
        </w:rPr>
        <w:t>E. 4</w:t>
      </w:r>
    </w:p>
    <w:p>
      <w:r>
        <w:t>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