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PS210077 vom 19. Mai 2021</w:t>
      </w:r>
    </w:p>
    <w:p>
      <w:r>
        <w:t>ZH Obergericht, 2021-05-19, DE</w:t>
      </w:r>
    </w:p>
    <w:p>
      <w:r>
        <w:rPr>
          <w:b/>
        </w:rPr>
        <w:t xml:space="preserve">Quelle: </w:t>
      </w:r>
      <w:r>
        <w:t>https://mcp.opencaselaw.ch/entscheid/zh_obergericht_PS210077</w:t>
      </w:r>
    </w:p>
    <w:p>
      <w:r>
        <w:t>FR: ZH_OBERGERICHT PS210077 du 19 mai 2021</w:t>
      </w:r>
    </w:p>
    <w:p>
      <w:r>
        <w:t>IT: ZH_OBERGERICHT PS210077 del 19 maggio 2021</w:t>
      </w:r>
    </w:p>
    <w:p>
      <w:pPr>
        <w:pStyle w:val="Heading2"/>
      </w:pPr>
      <w:r>
        <w:t>Erwägungen</w:t>
      </w:r>
    </w:p>
    <w:p>
      <w:r>
        <w:rPr>
          <w:b/>
        </w:rPr>
        <w:t>E. 1</w:t>
      </w:r>
    </w:p>
    <w:p>
      <w:r>
        <w:t>Im Rahmen des vor dem Bezirksgericht Zürich, 1. Abteilung, als untere kan- tonale Aufsichtsbehörde über Betreibungsämter, in Sachen A._____ (Be- schwerdeführerin) gegen den Kanton Zürich (Beschwerdegegner) hängigen Beschwerdeverfahrens betreffend die Arreste Nrn. 1 und 2 reichte die Be- schwerdeführerin mit Eingabe vom 19. April 2021 (Poststempel) gestützt auf die vorinstanzliche Verfügung vom 30. März 2021 (act. 5/15) eine Stellung- nahme zur Vernehmlassung des Betreibungsamtes ein (act. 5/19=act. 7). Diese wurde der Beschwerdeführerin mit Verfügung vom 20. April 2021 we- gen Ungebührlichkeit (Art. 132 Abs. 2 ZPO) im Original zurückgesandt. Ihr wurde eine Nachfrist von 7 Tagen angesetzt, um die Eingabe im Sinne der Erwägungen zu verbessern (Weglassung von ungebührlichen Äusserungen) und die Eingabe im Übrigen unverändert wieder einzureichen, ansonsten die Eingabe als nicht erfolgt gelte. Zudem wurde ihr das Doppel der Beschwer- deantwort inklusive Beilagen (act. 5/17 und 5/18/1-4) zugestellt (act. 4). Die- se Verfügung nahm die Beschwerdeführerin am 28. April 2021 bei der Post- stelle in Empfang (act. 5/22/3). Gleichentags erhob sie dagegen Beschwer- de mit folgenden Rechtsbegehren (act. 2 S. 1): "1 - Die Verfügung vom 20. April 2021 sei für nichtig zu erklären und aufzu- heben.</w:t>
      </w:r>
    </w:p>
    <w:p>
      <w:r>
        <w:rPr>
          <w:b/>
        </w:rPr>
        <w:t>E. 2</w:t>
      </w:r>
    </w:p>
    <w:p>
      <w:r>
        <w:t>Das Bezirksgericht Zürich sei gerichtlich anzuweisen, mir eine 10tägige Frist zu setzen, meine Stellungnahme vom 19. April 2021 im Original erneut einzureichen.</w:t>
      </w:r>
    </w:p>
    <w:p>
      <w:r>
        <w:rPr>
          <w:b/>
        </w:rPr>
        <w:t>E. 3</w:t>
      </w:r>
    </w:p>
    <w:p>
      <w:r>
        <w:t>Das Bezirksgericht Zürich sei gerichtlich anzuweisen, mir eine 10tägige Frist zu setzen, auf die Beschwerdeantwort der Beschwerdegegner zu rea- gieren.</w:t>
      </w:r>
    </w:p>
    <w:p>
      <w:r>
        <w:rPr>
          <w:b/>
        </w:rPr>
        <w:t>E. 4</w:t>
      </w:r>
    </w:p>
    <w:p>
      <w:r>
        <w:t>Das Bezirksgericht Zürich sei anzuweisen, meine Stellungnahme vom 19. April 2021, dem Betreibungsamt Kreis 7 sowie auch dem Beschwerde- gegner zur Kenntnis bzw. zur Vernehmlassung zuzustellen.</w:t>
      </w:r>
    </w:p>
    <w:p>
      <w:r>
        <w:t>- 3 -</w:t>
      </w:r>
    </w:p>
    <w:p>
      <w:r>
        <w:rPr>
          <w:b/>
        </w:rPr>
        <w:t>E. 5</w:t>
      </w:r>
    </w:p>
    <w:p>
      <w:r>
        <w:t>Das Betreibungsamt Kreis 7 sei gerichtlich anzuweisen, unverzüglich den erwähnten Saldo von Fr. 183'000.– in seiner Verfügung vom 5. März 2021 auf Bankkonto Nr. 3 zu überweisen.</w:t>
      </w:r>
    </w:p>
    <w:p>
      <w:r>
        <w:rPr>
          <w:b/>
        </w:rPr>
        <w:t>E. 6</w:t>
      </w:r>
    </w:p>
    <w:p>
      <w:r>
        <w:t>Das Bezirksgericht Zürich sei gerichtlich anzuweisen, das Betreibungs- amt Kreis 7 gerichtlich unverzüglich anzuweisen, den erwähnten Saldo von Fr. 183'000.– in seiner Verfügung vom 5. März 2021 auf Bankkonto Nr. 3 zu überweisen.</w:t>
      </w:r>
    </w:p>
    <w:p>
      <w:r>
        <w:rPr>
          <w:b/>
        </w:rPr>
        <w:t>E. 7</w:t>
      </w:r>
    </w:p>
    <w:p>
      <w:r>
        <w:t>Soweit die Beschwerdeführerin verlangt, ihr sei eine Frist zur Einreichung einer Stellungnahme zur Beschwerdeantwort anzusetzen, ist die Beschwer- de abzuweisen. Vom Bundesrecht sind das Beschwerdeverfahren und der Weiterzug einer betreibungsrechtlichen Beschwerde an eine obere kantona- le Aufsichtsinstanz nur rudimentär geregelt (Frist von zehn Tagen nach Art. 17 und 18 SchKG sowie minimale Verfahrensregeln in Art. 20a Abs. 1 SchKG) und im Übrigen, wie bereits erwähnt, den Kantonen anheim gestellt (Art. 20a Abs. 3 SchKG). § 83 f. GOG haben die allgemeine Aufsichtsbe- schwerde zum Thema. In § 83 Abs. 2 ist lediglich eine Vernehmlassung der Gegenpartei, falls nötig, vorgesehen, d.h. wenn sich die Beschwerde nicht sofort als unbegründet erweist (§ 83 Abs. 2 GOG). Ausser einer schriftlichen Beschwerdeschrift kennt somit das Beschwerdeverfahren keine weiteren ob- ligatorischen Parteivorträge. Damit unterscheidet sich das Beschwerdever- fahren vom ordentlichen und vom vereinfachten Verfahren der Zivilprozess- ordnung. Sie entspricht aber der Regelung des summarischen Verfahrens, welches der Kanton Zürich analog auf die betreibungsrechtliche Beschwerde anwendet (vgl. ZR 110 [2011] S. 243 ff.; Ingrid Jent-Sörensen, Das kantona- le Verfahren nach Art. 20a Abs. 3 SchKG: ein Relikt und die Möglichkeit ei- ner Vereinheitlichung in BlSchK 2013 S. 100-101). Dem Anspruch der Be- schwerdeführerin auf rechtliches Gehör ist mit der Zustellung der Beschwer- deantwort zur Kenntnisnahme genüge getan. Es steht ihr frei, sich zur Be- schwerdeantwort innert 10 Tagen zu äussern. Eine formelle Fristansetzung</w:t>
      </w:r>
    </w:p>
    <w:p>
      <w:r>
        <w:t>- 9 - dafür ist für das betreibungsrechtliche Beschwerdeverfahren nicht vorgese- hen.</w:t>
      </w:r>
    </w:p>
    <w:p>
      <w:r>
        <w:rPr>
          <w:b/>
        </w:rPr>
        <w:t>E. 8</w:t>
      </w:r>
    </w:p>
    <w:p>
      <w:r>
        <w:t>a) Demnach ist die Beschwerde abzuweisen, soweit darauf einzutreten ist. b) Da die von der Vorinstanz angesetzte (richterliche) Frist zur Verbesse- rung der Eingabe vom 17. April 2021 inzwischen abgelaufen ist und die Be- schwerde sinngemäss als Fristerstreckungsgesuch zu behandeln ist, ist der Beschwerdeführerin eine kurze Nachfrist von 5 Tagen ab Zustellung dieses Entscheides anzusetzen, um ihre Eingabe vom 17. April 2021 im Sinne der Erwägungen der Vorinstanz zu korrigieren. Zur Kontrolle der Fristeinhaltung ist der Vorinstanz der Empfangsschein der Beschwerdeführerin für dieses Urteil zuzustellen.</w:t>
      </w:r>
    </w:p>
    <w:p>
      <w:r>
        <w:rPr>
          <w:b/>
        </w:rPr>
        <w:t>E. 10</w:t>
      </w:r>
    </w:p>
    <w:p>
      <w:r>
        <w:t>Das Verfahren vor den kantonalen Aufsichtsbehörden in Schuldbetreibungs- und Konkurssachen ist grundsätzlich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