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PS210064 vom 10. Mai 2021</w:t>
      </w:r>
    </w:p>
    <w:p>
      <w:r>
        <w:t>ZH Obergericht, 2021-05-10, DE</w:t>
      </w:r>
    </w:p>
    <w:p>
      <w:r>
        <w:rPr>
          <w:b/>
        </w:rPr>
        <w:t xml:space="preserve">Quelle: </w:t>
      </w:r>
      <w:r>
        <w:t>https://mcp.opencaselaw.ch/entscheid/zh_obergericht_PS210064</w:t>
      </w:r>
    </w:p>
    <w:p>
      <w:r>
        <w:t>FR: ZH_OBERGERICHT PS210064 du 10 mai 2021</w:t>
      </w:r>
    </w:p>
    <w:p>
      <w:r>
        <w:t>IT: ZH_OBERGERICHT PS210064 del 10 maggio 2021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November 2020 zum Sachverständigen ernannt und mit der fachmännischen Schätzung beauftragt (act. 15). 1.3 Am 8. Dezember 2020 reichte E._____ daraufhin die Verkehrswertschät- zung gleichen Datums ein. Gemäss dieser beträgt der Verkehrswert der 5.5- Zimmer-Attikawohnung mit zusätzlichen Kellerräumen und drei Parkplätzten (GBBl. 5, 6, 7, 8, Kat.Nr. 9) Fr. 2'800'000.– (act. 19 u. 20). Nachdem die Vo- rinstanz den Parteien Frist zur Stellungnahme und zur Beantragung einer Erläute- rung bzw. Ergänzungen des Gutachtens angesetzt hatte, wobei die Beschwerde- gegner auf eine Stellungnahme verzichteten und die Beschwerdeführer am 28. Dezember 2020 innert Frist Stellung nahmen (act. 23), nach Ablauf der Frist</w:t>
      </w:r>
    </w:p>
    <w:p>
      <w:r>
        <w:t>- 3 - am 4. Januar 2021 ihre Stellungnahme ergänzten (act. 21, 22/4 und 24) und der Beschwerdeführer 1 sodann am 15. März 2021 eine Noveneingabe erstattete (act. 27 u. 28/1–2), erging am 26. März 2021 der nachfolgende Beschluss durch die Vorinstanz (act. 30 = act. 33 = act. 35, nachfolgend zitiert als act. 33):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