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PS210037 vom 19. März 2021</w:t>
      </w:r>
    </w:p>
    <w:p>
      <w:r>
        <w:t>ZH Obergericht, 2021-03-19, DE</w:t>
      </w:r>
    </w:p>
    <w:p>
      <w:r>
        <w:rPr>
          <w:b/>
        </w:rPr>
        <w:t xml:space="preserve">Quelle: </w:t>
      </w:r>
      <w:r>
        <w:t>https://mcp.opencaselaw.ch/entscheid/zh_obergericht_PS210037</w:t>
      </w:r>
    </w:p>
    <w:p>
      <w:r>
        <w:t>FR: ZH_OBERGERICHT PS210037 du 19 mars 2021</w:t>
      </w:r>
    </w:p>
    <w:p>
      <w:r>
        <w:t>IT: ZH_OBERGERICHT PS210037 del 19 marzo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A._____ (fortan Beschwerdeführer) ist Schuldner in mehreren Betreibungen des Betreibungsamtes Winterthur-Stadt (fortan Betreibungsamt). Er verlangte vom Betreibungsamt einen Betreibungsregisterauszug, welchen er am 22. Dezember 2020 erhielt. Am 27. Dezember 2020 wandte sich der Beschwerde- führer mit E-Mail betreffend die Betreibung Nr. 1 an das Betreibungsamt. Er nahm im E-Mail u.a. auch Bezug auf den Betreibungsregisterauszug, die Betreibungen Nrn. 2 und 3 sowie ein von ihm gestelltes Betreibungsbegehren. Das Betrei- bungsamt antwortete dem Beschwerdeführer auf das E-Mail mit Schreiben vom 7. Januar 2020 (vgl. act. 7/1, act. 7/4-5).</w:t>
      </w:r>
    </w:p>
    <w:p>
      <w:r>
        <w:rPr>
          <w:b/>
        </w:rPr>
        <w:t>E. 1.2</w:t>
      </w:r>
    </w:p>
    <w:p>
      <w:r>
        <w:t>Mit Eingaben vom 24. resp. 28. Dezember 2020 (Eingang am 28. und 29. Dezember 2020) erhob der Beschwerdeführer beim Bezirksgericht Winterthur als untere kantonale Aufsichtsbehörde über Schuldbetreibung und Konkurs (nach- folgend Vorinstanz) Beschwerde. Er strebte darin diverse Auskünfte bzw. Stel- lungnahmen zum Betreibungsregisterauszug an und er erhob Beanstandungen zur Immobilienschätzung durch das Betreibungsamt sowie zur angeblich fehlen- den Besetzung resp. öffentlichen Bekanntgabe des Amtes des Stadtammannes (act. 1). Die Vorinstanz setzte dem Betreibungsamt mit Präsidialverfügung vom</w:t>
      </w:r>
    </w:p>
    <w:p>
      <w:r>
        <w:rPr>
          <w:b/>
        </w:rPr>
        <w:t>E. 5</w:t>
      </w:r>
    </w:p>
    <w:p>
      <w:r>
        <w:t>Das Verfahren vor den kantonalen Aufsichtsbehörden in Schuldbetreibungs- und Konkurssachen ist grundsätzlich kostenlos (Art. 20a Abs. 2 Ziff. 5 SchKG und Art. 61 Abs. 2 GebV SchKG). Parteientschädigungen dürfen in diesem Verfahren nicht zugesprochen werden (Art. 62 Abs. 2 GebV SchKG).</w:t>
      </w:r>
    </w:p>
    <w:p>
      <w:r>
        <w:t>- 8 -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