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PS210024 vom 19. Februar 2021</w:t>
      </w:r>
    </w:p>
    <w:p>
      <w:r>
        <w:t>ZH Obergericht, 2021-02-19, DE</w:t>
      </w:r>
    </w:p>
    <w:p>
      <w:r>
        <w:rPr>
          <w:b/>
        </w:rPr>
        <w:t xml:space="preserve">Quelle: </w:t>
      </w:r>
      <w:r>
        <w:t>https://mcp.opencaselaw.ch/entscheid/zh_obergericht_PS210024</w:t>
      </w:r>
    </w:p>
    <w:p>
      <w:r>
        <w:t>FR: ZH_OBERGERICHT PS210024 du 19 février 2021</w:t>
      </w:r>
    </w:p>
    <w:p>
      <w:r>
        <w:t>IT: ZH_OBERGERICHT PS210024 del 19 febbraio 2021</w:t>
      </w:r>
    </w:p>
    <w:p>
      <w:pPr>
        <w:pStyle w:val="Heading2"/>
      </w:pPr>
      <w:r>
        <w:t>Erwägungen</w:t>
      </w:r>
    </w:p>
    <w:p>
      <w:r>
        <w:rPr>
          <w:b/>
        </w:rPr>
        <w:t>E. 1</w:t>
      </w:r>
    </w:p>
    <w:p>
      <w:r>
        <w:t>Der Schuldner und Beschwerdeführer (nachfolgend Schuldner) ist Inhaber der im Handelsregister eingetragenen Einzelunternehmung "C._____", welche gemäss Handelsregister folgenden Zweck aufweist: "Kinderhort, Kinderkrippe, Tagesstätte, Mittagstisch, insbesondere Unterstützung und Betreuung von Kin- dern ab 3 Monate bis 12 Jahre". Die Einzelfirma hat ihren Sitz an der D._____- strasse ... in ... E._____ (act. 6). Der private Wohnsitz des Schuldners befindet sich jedoch an der F._____-str. ... in ... G._____ bei H._____.</w:t>
      </w:r>
    </w:p>
    <w:p>
      <w:r>
        <w:rPr>
          <w:b/>
        </w:rPr>
        <w:t>E. 2</w:t>
      </w:r>
    </w:p>
    <w:p>
      <w:r>
        <w:t>Mit Urteil vom 4. Februar 2021 eröffnete das Konkursgericht des Bezirksge- richts Dielsdorf für eine Forderung der Gläubigerin von Fr. 2'752.05 nebst Zins zu 5% seit 16. Juli 2020, Fr. 24.20 Leistungen KVG vom 13. Dezember 2019, Fr. 250.– Spesen, Fr. 63.70 Zins, Fr. 9.– Zustellkosten und Betreibungskosten von Fr. 146.60 den Konkurs über den Schuldner (act. 7 [= 3 = act. 8/6).</w:t>
      </w:r>
    </w:p>
    <w:p>
      <w:r>
        <w:rPr>
          <w:b/>
        </w:rPr>
        <w:t>E. 2.1</w:t>
      </w:r>
    </w:p>
    <w:p>
      <w:r>
        <w:t>Der Schuldner belegt, dass er die Forderung der Gläubigerin am 6. Februar 2021 inkl. Zinsen und Kosten bezahlt hat (act. 5/4). Im Weiteren hat Schuldner beim Konkursamt Höngg-Zürich zur Deckung der Kosten des Konkursgerichts und des Konkursverfahrens bis zu einer allfälligen Konkursaufhebung Fr. 1'800.– sichergestellt (act. 5/6). Zudem hat er den Kostenvorschuss für das vorliegende Beschwerdeverfahren von Fr. 750.– am 8. Februar 2021 bereits an die Oberge- richtskasse überwiesen (act. 5/7; act. 11). Der Konkurshinderungsgrund der Til- gung bzw. Hinterlegung ist somit ausgewiesen. Um die Aufhebung der Kon- kurseröffnung zu erreichen, hat der Schuldner überdies seine Zahlungsfähigkeit glaubhaft zu machen.</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w:t>
      </w:r>
    </w:p>
    <w:p>
      <w:r>
        <w:t>- 4 -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w:t>
      </w:r>
    </w:p>
    <w:p>
      <w:r>
        <w:rPr>
          <w:b/>
        </w:rPr>
        <w:t>E. 2.3</w:t>
      </w:r>
    </w:p>
    <w:p>
      <w:r>
        <w:t>Aus dem vom Schuldner eingereichten Auszug aus dem Betreibungsregister des Betreibungsamtes H._____ vom 5. Februar 2021 ergeben sich neben der der Konkurseröffnung zugrunde liegenden Betreibung (Nr. 1) 23 weitere Betreibun- gen, von denen jedoch in neun Fällen entweder nach Verwertung eine vollständi- ge Befriedigung des Gläubigers resultierte oder die Forderung bereits an das Be- treibungsamt bezahlt wurde. Von den restlichen 14 Betreibungen (Gesamtbetrag Fr. 28'253.25) befinden sich sieben (Gesamtbetrag Fr. 8'908.55) noch im Einlei- tungsstadium, in fünf Betreibungen (Gesamtbetrag Fr. 15'848.05) läuft die Pfän- dung und in zwei Betreibungen (Gesamtbetrag Fr. 3'496.65) wurde dem Schuld- ner bereits der Konkurs angedroht (act. 5/5). Der Schuldner belegt, dass er seit der Konkurseröffnung neben der Kon- kursforderung die Forderungen in sechs weiteren Betreibungen (Nrn. 2; 3; 4; 5 und 6) durch Bezahlung an den Gläubiger getilgt (act. 13/15-16 und 13/18) oder bei der Obergerichtskasse sichergestellt hat (Nr. 7; act. 13/17). Damit reduzieren sich die offenen Betreibungsforderungen um Fr. 5'133.75 auf Fr. 23'119.50. Aus- serdem weist der Schuldner nach, dass er mit der Gläubigerin der Betreibung Nr. 8 (Gemeinde H._____) eine Zahlungsvereinbarung abgeschlossen hat, in welcher er sich verpflichtet hat, die geschuldete Summe von insgesamt</w:t>
      </w:r>
    </w:p>
    <w:p>
      <w:r>
        <w:t>- 5 - Fr. 7'132.75 in 11 monatlichen Raten à Fr. 600.– und einer Rate an Fr. 532.75 zu bezahlen (act. 13/19). Schliesslich belegt der Schuldner, dass er von seinen Eltern einen Erbvor- bezug von Fr. 16'000.– erhalten hat (act. 13/20-21), welcher es ihm nach eigenen Ausführungen ermögliche, neben der ratenweisen Abbezahlung der vorgenannten Schuld von Fr. 7'132.75 auch noch die verbleibenden Restschulden von rund Fr. 16'000.– zu tilgen (act. 12 S. 10 f., Rz. 22).</w:t>
      </w:r>
    </w:p>
    <w:p>
      <w:r>
        <w:rPr>
          <w:b/>
        </w:rPr>
        <w:t>E. 2.4</w:t>
      </w:r>
    </w:p>
    <w:p>
      <w:r>
        <w:t>Zu seiner Zahlungsfähigkeit brachte der Schuldner sodann vor, er führe ei- nerseits die als Einzelfirma organisierte Kinderkrippe "C._____", welche erst Ende des Jahres 2019 ihren Betrieb aufgenommen habe. Aus der provisorischen Er- folgsrechnung für das Jahr 2020 resultiere für diese Einzelfirme ein Verlust von Fr. 65'885.66, welcher in unmittelbarem Zusammenhang mit der COVID 19 Pan- demie stehe. So habe die Kinderkrippe wenige Monate nach dem Start verschie- dene Einschränkungen hinnehmen müssen. Die Ungewissheit der Pandemie so- wie des verhängten Lockdowns hätten grosse Auswirkungen auf das Einzelunter- nehmen gehabt. Wie dem Jahresbericht 2020 entnommen werden könne, sei die Anzahl an betreuten Kindern im Verlaufe des Jahres 2020 trotz aller Umstände gestiegen und es sei davon auszugehen, dass die Anzahl auch im Jahr 2021 wei- ter steigen werde, da Krippenplätze in der Schweiz rar seien. Aus dem Jahresbe- richt 2020 sei auch ersichtlich, dass die monatlichen Einnahmen jeweils von Mo- nat zu Monat gestiegen seien, wobei die Rückgänge im Juli und Dezember dadurch zu erklären seien, dass die Eltern in diesen Monaten wegen Ferien und Festtagen freie Tage hätten und deshalb keine Kinderbetreuung benötigten (act. 12 S. 6, Rz. 10). Weiter könne der Kreditoren- und Debitorenliste vom 15. Februar 2021 entnommen werden, dass die Einzelunternehmung in Zukunft mehr Einnahmen als voraussichtliche Ausgaben haben werde. So stünden mo- natlichen Einnahmen in Form von gesicherten Elternbeiträgen von mindestens Fr. 19'781.20 Ausgaben von Fr. 18'626.35 gegenüber. Einzig im April 2021 sei vo- raussichtlich aufgrund einer einmaligen Ausgabe für Werbung für die Neukunden- akquise mit höheren Ausgabe zu rechnen (act. 12 S. 7, Rz. 12). Ausserdem habe er beim Bundesamt für Sozialversicherungen (BSV) ein Gesuch um Finanzhilfen</w:t>
      </w:r>
    </w:p>
    <w:p>
      <w:r>
        <w:t>- 6 - für familienergänzende Kinderbetreuung gestellt, wobei die eingereichten Unter- lagen vom BSV an den Kanton weitergeleitet worden seien und nunmehr dessen Stellungnahme abgewartet werde. Erst dann könne das BSV über sein Gesuch entscheiden, wobei bei Kindertagesstätten während zweier Jahre bis maximal Fr. 5'000.– pro Platz und Jahr ausgerichtet würden. Bei 80 Krippenplätzen ergebe dies ein Maximalbetrag von Fr. 400'000.–, welcher gewährt werden könne. Da seine Einzelunternehmung alle Voraussetzungen für die Finanzhilfen erfülle, sei er beitragsberechtigt und es sei davon auszugehen, dass seinem Betrieb bald fi- nanziell unter die Arme gegriffen werde (act. 12 S. 7, Rz. 13). Andererseits – so die weiteren Ausführungen des Schuldners zu seinen fi- nanziellen Verhältnissen – arbeite er persönlich seit dem 8. Februar 2021 Vollzeit für die Firma I._____ GmbH, bei welcher er auch Gesellschafter sei, als Ge- schäftsführer und erziele dabei einen monatlichen Bruttolohn von Fr. 6'000.– (act. 12 S. 5, Rz. 8). Seine Wohnung koste monatlich Fr. 2'635.– (act. 12 S. 4, Rz. 6). Er besitze bei der UBS zwei persönliche Konten, nämlich ein Privatkonto und ein Fiscakonto. Dem detaillierten Kontoauszug seines Privatkontos vom 1. August 2019 bis 7. Februar 2021 könne entnommen werden, dass regelmässi- ge Gutschriften sowie Zahlungen betreffend die laufenden Verbindlichkeiten erfol- gen würden, wobei der Kontostand per 7. Februar 2021 Fr. 3'674.88 betragen ha- be. Auf dem Fiscakonto habe per 7. Februar 2021 ein Kontosaldo von Fr. 7'256.45 bestanden (act. 12 S. 5. Rz. 9; act. 13/6-7).</w:t>
      </w:r>
    </w:p>
    <w:p>
      <w:r>
        <w:rPr>
          <w:b/>
        </w:rPr>
        <w:t>E. 2.5</w:t>
      </w:r>
    </w:p>
    <w:p>
      <w:r>
        <w:t>Im Ergebnis ist aufgrund der Ausführungen des Schuldner dessen Zahlungs- fähigkeit glaubhaft. So ist belegt, dass der Schuldner alle noch offenen Betrei- bungsforderungen bis auf diejenige des Steueramtes H._____, für welche er eine Ratenzahlung abgeschlossen hat, zeitnah durch die ihm von seinen Eltern mittels Erbvorbezug zur Verfügung gestellten Mittel wird begleichen können. Sodann sind die vom Schuldner geschilderten Startschwierigkeiten der von ihm als Einzelun- ternehmung betriebenen Kinderkrippe "C._____" vor dem Hintergrund der COVID 19 Pandemie ebenso glaubhaft, wie seine Darlegungen, dass sich die Einzelun- ternehmung auf einem guten Weg befinde. So ergibt sich aus dem vom Schuldner eingereichten Jahresbericht 2020, dass – wie vom Schuldner ausgeführt – die</w:t>
      </w:r>
    </w:p>
    <w:p>
      <w:r>
        <w:t>- 7 - Zahl der betreuten Kinder im Laufe des Jahres 2020 stetig zunahm und damit verbunden auch die Einnahmen stetig anstiegen (act. 13/11 S. 7 f.). Zudem ist be- legt, dass der Schuldner als Geschäftsführer der Firma I._____ GmbH ein monat- liches Einkommen von Fr. 6'000.– (davon Fr. 500.– Pauschalspesen) erzielt (act. 13/4), welches es ihm ermöglicht, seine finanziellen Risiken in der Startpha- se der von ihm gegründeten Kinderkrippe etwas zu reduzieren. Insgesamt ist deshalb glaubhaft, dass es dem Schuldner möglich sein wird, neben der Bezah- lung seiner laufenden Kosten auch die Raten der zwischen ihm und dem Steuer- amt H._____ geschlossenen Zahlungsvereinbarung zu bezahlen. Damit ist die Beschwerde gutzuheissen und der über den Schuldner eröffnete Konkurs aufzu- heben. III. 1. Durch die verspätete Zahlung hat der Schuldner sowohl die Konkurseröff- nung als auch das Beschwerdeverfahren verursacht. Entsprechend hat er die Kosten des Konkursamtes, die Kosten des Konkursgerichtes und die Kosten des Beschwerdeverfahrens zu tragen. Die Spruchgebühr für das Beschwerdeverfah- ren ist mit den geleisteten Vorschüssen zu verrechnen. 2. Der Gläubigerin ist mangels relevanter Aufwendungen im vorliegenden Ver- fahren keine Prozessentschädigung zuzusprechen. Es wird erkannt:</w:t>
      </w:r>
    </w:p>
    <w:p>
      <w:r>
        <w:rPr>
          <w:b/>
        </w:rPr>
        <w:t>E. 3</w:t>
      </w:r>
    </w:p>
    <w:p>
      <w:r>
        <w:t>Mit Eingabe vom 8. Februar 2021 (Datum Poststempel) erhob der Schuldner Beschwerde gegen dieses Konkurserkenntnis und beantragte die Aufhebung des Konkurses sowie die Erteilung der aufschiebenden Wirkung (act. 2 S. 2). Mit Ver- fügung vom 9. Februar 2021 wurde der Beschwerde des Beschwerdeführers einstweilen die aufschiebende Wirkung erteilt (act. 9). Am 15. Februar 2021 reich- te der Schuldner innert noch laufender Beschwerdefrist (vgl. act. 8/7/2) eine Er- gänzung der Beschwerde sowie weitere Unterlagen ein (act. 12 und 13/1-21). Die Akten der Vorinstanz wurden beigezogen (act. 8/1-8). Das Verfahren ist spruch- reif. II. 1. Gemäss Art. 174 Abs. 2 SchKG kann die Konkurseröffnung im Beschwerde- verfahren aufgehoben werden, wenn der Schuldner mit der Einlegung des</w:t>
      </w:r>
    </w:p>
    <w:p>
      <w:r>
        <w:t>- 3 -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wer- den nicht gewährt (vgl. dazu BGE 136 III 294 und ZR 110/2011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