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PS210016 vom 17. Februar 2021</w:t>
      </w:r>
    </w:p>
    <w:p>
      <w:r>
        <w:t>ZH Obergericht, 2021-02-17, DE</w:t>
      </w:r>
    </w:p>
    <w:p>
      <w:r>
        <w:rPr>
          <w:b/>
        </w:rPr>
        <w:t xml:space="preserve">Quelle: </w:t>
      </w:r>
      <w:r>
        <w:t>https://mcp.opencaselaw.ch/entscheid/zh_obergericht_PS210016</w:t>
      </w:r>
    </w:p>
    <w:p>
      <w:r>
        <w:t>FR: ZH_OBERGERICHT PS210016 du 17 février 2021</w:t>
      </w:r>
    </w:p>
    <w:p>
      <w:r>
        <w:t>IT: ZH_OBERGERICHT PS210016 del 17 febbraio 2021</w:t>
      </w:r>
    </w:p>
    <w:p>
      <w:pPr>
        <w:pStyle w:val="Heading2"/>
      </w:pPr>
      <w:r>
        <w:t>Erwägungen</w:t>
      </w:r>
    </w:p>
    <w:p>
      <w:r>
        <w:rPr>
          <w:b/>
        </w:rPr>
        <w:t>E. 27</w:t>
      </w:r>
    </w:p>
    <w:p>
      <w:r>
        <w:t>Januar 2021 hierorts einging, Beschwerde. Er beantragte die Aufhebung des Konkurses und ersuchte um Erteilung der aufschiebenden Wirkung (act. 2). 1.3. Mit Verfügung vom 27. Januar 2021 wurde der Beschwerde die aufschie- bende Wirkung einstweilen verweigert und ein Kostenvorschuss einverlangt (act. 9), welcher innert Frist geleistet wurde (act. 11). Die vorinstanzlichen Akten wurden beigezogen (act. 6/1–13). Die Sache erweist sich als spruchreif. 2. Die Konkurseröffnung kann im Beschwerdeverfahren aufgehoben werden, wenn der Schuldner mit der Einlegung des Rechtsmittels seine Zahlungsfähigkeit glaubhaft macht und einen der drei gesetzlich vorgesehenen Konkurshinderungs- gründe (Tilgung, Hinterlegung oder Gläubigerverzicht) urkundlich nachweist (Art. 174 Abs. 2 SchKG). Diese Aufzählung ist abschliessend. Neue Behauptun- gen und Urkundenbeweise sind unabhängig davon, ob sie vor oder nach dem erstinstanzlichen Entscheid ergangen sind, zulässig, müssen indes vor Ablauf der Beschwerdefrist beigebracht werden (BGE 136 III 294 und BGE 139 III 491). Da es sich bei der Beschwerdefrist um eine gesetzliche Frist handelt, ist die Gewäh- rung einer Fristerstreckung bzw. einer Nachfrist ausgeschlossen (Art. 144 Abs. 1 ZPO). 3. Dem Schuldner wurde der angefochtene Entscheid am 13. Januar 2021 zu- gestellt (vgl. act. 6/13/2). Die Beschwerdefrist lief damit bis am 25. Januar 2021. Der Schuldner hat bis heute weder einen Konkurshinderungsgrund behauptet noch urkundlich nachgewiesen. Er legt in seiner Beschwerdeschrift vielmehr dar, weshalb er die Konkursforderung momentan nicht bezahlen könne bzw. weshalb</w:t>
      </w:r>
    </w:p>
    <w:p>
      <w:r>
        <w:t>- 3 - sich die Zahlung verzögere (vgl. act. 2 Rz. 5, Rz. 13–14). Die Tatsache, dass der Schuldner angeblich ausreichend liquide ist und nur ein vorübergehender Liquidi- tätsmangel besteht, stellt – entgegen den Ausführungen des Schuldners (act. 2 Rz. 15) – keinen Konkurshinderungsgrund dar (vgl. hiervor E. 2). Die Vorausset- zungen für die Aufhebung des Konkurses sind folglich nicht erfüllt. Die Beschwer- de ist abzuweisen. 4. Ausgangsgemäss sind die Prozesskosten dem Schuldner aufzuerlegen (Art. 106 Abs. 1 ZPO). Parteientschädigungen sind nicht zuzusprechen; dem Schuldner nicht, weil er unterliegt, der Gläubigerin nicht, weil ihr in diesem Verfah- ren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