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PS200218 vom 10. Dezember 2020</w:t>
      </w:r>
    </w:p>
    <w:p>
      <w:r>
        <w:t>ZH Obergericht, 2020-12-10, DE</w:t>
      </w:r>
    </w:p>
    <w:p>
      <w:r>
        <w:rPr>
          <w:b/>
        </w:rPr>
        <w:t xml:space="preserve">Quelle: </w:t>
      </w:r>
      <w:r>
        <w:t>https://mcp.opencaselaw.ch/entscheid/zh_obergericht_PS200218</w:t>
      </w:r>
    </w:p>
    <w:p>
      <w:r>
        <w:t>FR: ZH_OBERGERICHT PS200218 du 10 décembre 2020</w:t>
      </w:r>
    </w:p>
    <w:p>
      <w:r>
        <w:t>IT: ZH_OBERGERICHT PS200218 del 10 dicembre 2020</w:t>
      </w:r>
    </w:p>
    <w:p>
      <w:pPr>
        <w:pStyle w:val="Heading2"/>
      </w:pPr>
      <w:r>
        <w:t>Erwägungen</w:t>
      </w:r>
    </w:p>
    <w:p>
      <w:r>
        <w:rPr>
          <w:b/>
        </w:rPr>
        <w:t>E. 1</w:t>
      </w:r>
    </w:p>
    <w:p>
      <w:r>
        <w:t>Das Betreibungsamt Thalwil-Rüschlikon-Kilchberg verarrestierte am 16. und 18. Oktober sowie am 21. November 2018 gestützt auf vier Steuer-Arrestbefehle den Liquidationsanteil des Beschwerdeführers an einer Erbschaft (Arreste Nrn. 1, 2, 3 und 4; act. 5 E. 1). Die vier Arreste wurden durch die Betreibungen Nrn. 5, 6, 7 und 8 prosequiert (act. 5 E. 1). Mit Urteilen vom 10. Juli 2019 wurde in den bei- den erstgenannten und mit Urteilen vom 10. Januar 2020 in den beiden zuletzt genannten Betreibungen definitive Rechtsöffnung erteilt (act. 7–9). Die Begehren um Fortsetzung der vier Betreibungen datieren vom 17. Juli 2019 und 21. Januar 2020 (act. 2/5–6; act. 2/10–11).</w:t>
      </w:r>
    </w:p>
    <w:p>
      <w:r>
        <w:rPr>
          <w:b/>
        </w:rPr>
        <w:t>E. 2</w:t>
      </w:r>
    </w:p>
    <w:p>
      <w:r>
        <w:t>Mit Beschwerde vom 29. September 2020 gelangte der Beschwerdeführer ans Bezirksgericht Horgen als untere kantonale Aufsichtsbehörde im Sinne von Art. 13 SchKG (nachfolgend: Vorinstanz) und beantragte darin, es sei der Dahin- fall der vier Arreste zu bestätigen und die vom Arrestbeschlag erfassten Vermö- genswerte seien freizugeben (act. 1 S. 2). Als Begründung brachte er insbeson- dere vor, die vier Arreste seien hinsichtlich der Stellung der Fortsetzungsbegeh- ren verspätet prosequiert worden. Die Vorinstanz wies die Beschwerde mit Urteil vom 14. Oktober 2020 ab, soweit sie darauf eintrat (act. 10 S. 12 = act. 13 [Ak- tenexemplar der Kammer] = act. 15; nachfolgend als act. 13 zitiert). Nicht eigetre- ten ist sie auf die Beschwerde, soweit darin auch Ausführungen zur Wahrung der Prosequierungsfrist hinsichtlich der Einleitung der Betreibungen gemacht wurden, da ein diese Frage betreffendes Verfahren bereits anderweitig rechtshängig sei (act. 13 E. 2.3. f.; momentan unter der Geschäfts-Nr. 5A_559/2020 beim Bundes- gericht hängig; betrifft weitergezogenes Urteil OGer ZH PS200118 vom 19. Juni 2020 [act. 5]).</w:t>
      </w:r>
    </w:p>
    <w:p>
      <w:r>
        <w:rPr>
          <w:b/>
        </w:rPr>
        <w:t>E. 3</w:t>
      </w:r>
    </w:p>
    <w:p>
      <w:r>
        <w:t>Gegen den vorinstanzlichen Entscheid erhob der Beschwerdeführer mit Ein- gabe vom 9. November 2020 (Datum Poststempel) Beschwerde bei der Kammer als obere kantonale Aufsichtsbehörde über Schuldbetreibung und Konkurs. Er beantragt darin dessen Aufhebung. Stattdessen sei der Dahinfall der vier Arreste</w:t>
      </w:r>
    </w:p>
    <w:p>
      <w:r>
        <w:t>- 3 - Nrn. 1, 2, 3 und 4 zu bestätigen und die vom Arrestbeschlag erfassten Vermö- genswerte seien freizugeben (act. 14 S. 2). Die vorinstanzlichen Akten (act. 1–11) wurden beigezogen. Auf die Einholung einer Beschwerdeantwort kann verzichtet werden (Art. 322 Abs. 1 ZPO). Das Verfahren erweist sich als spruchreif. II. Prozessuale Vorbemerkungen 1. Das Verfahren der Aufsichtsbeschwerde in Schuldbetreibungs- und Konkurs- sachen richtet sich nach den Bestimmungen von Art. 20a Abs. 2 SchKG. Soweit Art. 20a Abs. 2 SchKG keine Bestimmungen enthält, regeln die Kantone das Ver- fahren (Art. 20a Abs. 3 SchKG).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 Mit der Beschwerde kann folglich die unrichtige Rechtsanwendung und die offensichtlich unrichtige Feststellung des Sachverhal- tes geltend gemacht werden (Art. 320 ZPO). Die Beschwerde ist bei der Rechts- mittelinstanz innert der zehntägigen Rechtsmittelfrist (Art. 18 Abs. 1 SchKG), schriftlich, mit Anträgen versehen und begründet einzureichen (Art. 321 Abs. 1 ZPO). Enthält die Beschwerde keinen rechtsgenügenden Antrag oder kei- ne Begründung, ist darauf nicht einzutreten (HUNGERBÜHLER/BUCHER, DIKE- Komm-ZPO, 2. Aufl. 2016, Art. 321 N 17 i.V.m. Art. 311 N 28 und 46). 2. Das Urteil der Vorinstanz wurde dem Beschwerdeführer am 28. Oktober 2020 zugestellt (act. 11/1). Die vorliegende Beschwerde (Poststempel: 9. November 2020; act. 14) erfolgte damit innert der zehntägigen Frist. Die Anforderungen ge- mäss Art. 321 Abs. 1 ZPO sind erfüllt. Auf die Beschwerde ist einzutreten.</w:t>
      </w:r>
    </w:p>
    <w:p>
      <w:r>
        <w:t>- 4 - III. Zur Beschwerde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