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PS200209 vom 28. Oktober 2020</w:t>
      </w:r>
    </w:p>
    <w:p>
      <w:r>
        <w:t>ZH Obergericht, 2020-10-28, DE</w:t>
      </w:r>
    </w:p>
    <w:p>
      <w:r>
        <w:rPr>
          <w:b/>
        </w:rPr>
        <w:t xml:space="preserve">Quelle: </w:t>
      </w:r>
      <w:r>
        <w:t>https://mcp.opencaselaw.ch/entscheid/zh_obergericht_PS200209</w:t>
      </w:r>
    </w:p>
    <w:p>
      <w:r>
        <w:t>FR: ZH_OBERGERICHT PS200209 du 28 octobre 2020</w:t>
      </w:r>
    </w:p>
    <w:p>
      <w:r>
        <w:t>IT: ZH_OBERGERICHT PS200209 del 28 ottobre 2020</w:t>
      </w:r>
    </w:p>
    <w:p>
      <w:pPr>
        <w:pStyle w:val="Heading2"/>
      </w:pPr>
      <w:r>
        <w:t>Erwägungen</w:t>
      </w:r>
    </w:p>
    <w:p>
      <w:r>
        <w:rPr>
          <w:b/>
        </w:rPr>
        <w:t>E. 1</w:t>
      </w:r>
    </w:p>
    <w:p>
      <w:r>
        <w:t>Das Konkursgericht des Bezirksgerichtes Bülach eröffnete mit Urteil vom 28. September 2020 über den Beschwerdeführer den Konkurs (act. 3). Mit Be- schwerde vom 16. Oktober 2020 beantragte der Beschwerdeführer rechtzeitig die Aufhebung des Konkurses (act. 2), im Wesentlichen mit der Begründung, er habe die Konkursforderung erst ein paar Tage nach der Konkursverhandlung beglei- chen können. Er habe versucht, die Beschwerdegegnerin zu kontaktieren und ei- ne Stundung zu erreichen, aber ohne Erfolg. Er habe nicht pünktlich bezahlen können, weil er im August mit seinem Auto einen Unfall gehabt habe und die Re- paratur sehr teuer gewesen sei. Während dieser Zeit habe er einen Mietwagen benutzt, damit er habe weiterarbeiten können. Obwohl die Zeit seit März 2020 schwierig gewesen sei und seine Arbeit auf Grund der Corona-Pandemie auf 50 % reduziert worden sei, sei er immer in der Lage gewesen, seine Schulden zu bezahlen. Er habe weder von den Sozialdiensten noch von der SVA finanzielle Unterstützung erhalten. Er warte noch immer auf die Auszahlung der Familienzu- lagen für seinen Sohn.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 Das Obergericht ist an diese Voraussetzungen für die Aufhebung eines einmal eröffneten Konkurses gebunden, auch wenn der betreffende Schuldner wegen</w:t>
      </w:r>
    </w:p>
    <w:p>
      <w:r>
        <w:t>- 3 - unglücklicher Umstände oder ohne jedes Verschulden in finanzielle Bedrängnis geriet.</w:t>
      </w:r>
    </w:p>
    <w:p>
      <w:r>
        <w:rPr>
          <w:b/>
        </w:rPr>
        <w:t>E. 3</w:t>
      </w:r>
    </w:p>
    <w:p>
      <w:r>
        <w:t>Das angefochtene Konkurserkenntnis wurde dem Beschwerdeführer am</w:t>
      </w:r>
    </w:p>
    <w:p>
      <w:r>
        <w:rPr>
          <w:b/>
        </w:rPr>
        <w:t>E. 7</w:t>
      </w:r>
    </w:p>
    <w:p>
      <w:r>
        <w:t>Oktober 2020 zugestellt, mit dem Hinweis, dass für die Rechtsmittelfrist die ge- setzlichen Fristenstillstände gemäss Art. 145 Abs. 2 ZPO nicht gelten (act. 3 und act. 5/17). Die zehntägige Rechtsmittelfrist lief somit bis zum 19. Oktober 2020 (Art. 142 ZPO). Der Beschwerdeführer beanstandet weder inhaltlich den vorin- stanzlichen Entscheid, noch hat er innert Rechtsmittelfrist einen Nachweis über die Tilgung oder Hinterlegung der Konkursforderung samt Kosten oder einen Nachweis dafür eingereicht, dass die Beschwerdegegnerin auf die Durchführung des Konkurses verzichtet. Ebenso wenig hat er seine Zahlungsfähigkeit näher dargelegt und mit Dokumenten belegt. Die von ihm vorgebrachten Behauptungen mögen zutreffen, zielen aber an der Sache vorbei. Die Beschwerde erweist sich deshalb als unbegründet, weshalb sie abzuweisen ist. Den Akten ist nicht zu entnehmen, wie der Schuldner sein Transportgeschäft be- trieben hat. Vermutlich ist es sinnvoll, wenn er mit dem Konkursamt bespricht, wie er seine Dienstleistungen künftig anbieten und so für sich und seine Familie wie- der ein Einkommen erzielen kann. 4. Umständehalber ist auf die Erhebung von Gerichtskosten zu verzichten. Par- teientschädigungen sind keine zuzusprechen, dem Beschwerdeführer nicht, weil er unterliegt, und der Beschwerdegegnerin nicht, weil ihr im Beschwerdeverfahren keine Umtriebe entstanden sind, die es zu entschädigen gälte (Art. 106 Abs. 1 und Art. 95 Abs. 3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