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PS200183 vom 23. Oktober 2020</w:t>
      </w:r>
    </w:p>
    <w:p>
      <w:r>
        <w:t>ZH Obergericht, 2020-10-23, DE</w:t>
      </w:r>
    </w:p>
    <w:p>
      <w:r>
        <w:rPr>
          <w:b/>
        </w:rPr>
        <w:t xml:space="preserve">Quelle: </w:t>
      </w:r>
      <w:r>
        <w:t>https://mcp.opencaselaw.ch/entscheid/zh_obergericht_PS200183</w:t>
      </w:r>
    </w:p>
    <w:p>
      <w:r>
        <w:t>FR: ZH_OBERGERICHT PS200183 du 23 octobre 2020</w:t>
      </w:r>
    </w:p>
    <w:p>
      <w:r>
        <w:t>IT: ZH_OBERGERICHT PS200183 del 23 ottobre 2020</w:t>
      </w:r>
    </w:p>
    <w:p>
      <w:pPr>
        <w:pStyle w:val="Heading2"/>
      </w:pPr>
      <w:r>
        <w:t>Erwägungen</w:t>
      </w:r>
    </w:p>
    <w:p>
      <w:r>
        <w:rPr>
          <w:b/>
        </w:rPr>
        <w:t>E. 18</w:t>
      </w:r>
    </w:p>
    <w:p>
      <w:r>
        <w:t>Dezember 2018, E. 4.3). 2.1.3 Damit auf die Beschwerde eingetreten wird, muss die beschwerdeführende Partei sodann ein schutzwürdiges Interesse an der Beurteilung der Beschwerde haben (sog. Rechtsschutzinteresse). In Bezug auf die SchK-Beschwerde bedeu- tet dies, dass mit dieser ein praktischer Verfahrenszweck verfolgt wird; die Korrek- tur im Sinne eines Zurückkommens auf die angefochtene Handlung muss noch möglich sein (z.B. BGE 120 III 107, E. 2; vgl. auch BSK SchKG I- COMETTA/MÖCKLI, 2. Aufl. 2010, Art. 17 N 7 m.w.H.). Ein schutzwürdiges Feststel- lungsinteresse besteht ausnahmsweise dann, wenn sich die beanstandete Hand- lung jederzeit in ähnlicher Weise wiederholen, aber die betreffende Problematik nicht rechtzeitig beurteilt werden könnte (BSK SchKG I-COMETTA/MÖCKLI, 2. Aufl. 2010, Art. 17 N 7). 2.2. Die Beschwerde des Beschwerdeführers vor Vorinstanz zielte darauf ab, die Zustellung der Zahlungsbefehle mittels Post zu erwirken, was einen praktischen Verfahrenszweck darstellt (act. 1). Indes teilte der Beschwerdeführer der Vor- instanz in seiner Stellungnahme vom 13. Juli 2020 (act. 9) mit, die Zahlungsbe- fehle zwischenzeitlich auf der Polizei abgeholt zu haben. Damit entfiel der prakti- sche Verfahrenszweck, da der Beschwerdeführer nunmehr über die Zahlungsbe- fehle verfügte und eine Postzustellung damit obsolet wurde. Ein schutzwürdiges Feststellunginteresse, dass die Zustellung via Polizei nicht zulässig wäre, besteht darüber hinaus nicht – ob eine allenfalls zukünftige Zustellung eines Zahlungsbe- fehls durch die Polizei an den Beschwerdeführer rechtens ist, lässt sich in der vor- liegenden Beschwerde nicht abstrakt beurteilen, sondern wäre aufgrund des je- weils konkreten Sachverhaltes erneut zu beurteilen. Entsprechend entfiel bereits vor Vorinstanz – welche die Beschwerde indes materiell prüfte – das Rechts- schutzinteresse, und das Verfahren hätte abgeschrieben werden können (vgl. z.B. BK ZPO-ZINGG, Art. 60 N 53; MÜLLER, DIKE Komm ZPO, 2. Aufl. 2016, Art. 59 N 22). Auf die Beschwerde vor der Kammer ist damit – soweit sie sich auf das vorinstanzliche Verfahren bezieht – nicht einzutreten.</w:t>
      </w:r>
    </w:p>
    <w:p>
      <w:r>
        <w:t>- 5 - 3. In seiner Beschwerde an die Kammer verlangt der Beschwerdeführer nicht mehr die Zustellung der Zahlungsbefehle an sich durch die Schweizerische Post. Vielmehr argumentiert er materiell zu den Kosten für die Zustellung der Zahlungs- befehle und bezeichnet diese sinngemäss als zu hoch (act. 17). Die Kosten für die Zustellung der Zahlungsbefehle bildeten nicht Gegenstand des vor- instanzlichen Beschwerdeverfahrens, und die Vorinstanz hat entsprechend in ih- rem Entscheid nicht darüber befunden, weshalb diese Thematik nicht Gegenstand der vorliegenden Beschwerde bei der Kammer bilden kann. Auf die Beschwerde ist auch in diesem Punkt nicht einzutreten. 4. Festzuhalten ist aber, dass sich der Beschwerdeführer bereits in seiner Stel- lungnahme vom 13. Juli 2020 vor Vorinstanz sinngemäss zu den Kosten im Zu- sammenhang mit der Zustellung der Zahlungsbefehle äusserte und eine Erweite- rung der Beschwerde auf die Frage der "Kostenforderung" verlangte (act. 9 S. 2). So bestritt er die in Rechnung gestellte Anzahl an Zustellversuchen und bezeich- nete die Kosten als nicht nachvollziehbar hoch (so auch in der Beschwerde an die Kammer, vgl. act. 17). Die Vorinstanz äusserte sich zu diesen neuen Vorbringen bzw. dem neuen Antrag nicht. Gemäss Art. 17 Abs. 2 SchKG muss die Beschwerde wegen Gesetzesver- letzung oder Unangemessenheit binnen zehn Tagen seit dem Tag, an welchem der Beschwerdeführer von der Verfügung Kenntnis erhalten hat, angebracht wer- den. Die Beschwerdefrist als gesetzliche Frist ist eine Verwirkungsfrist. Sie kann zum einen nicht erstreckt werden. Zum andern sind nach ihrem Ablauf eingehen- de Ergänzungen der Beschwerde nicht zu berücksichtigen (KUKO SchKG- DIETH/WOHL, 2. Aufl. 2014, Art. 17 N 29b sowie SK SchKG-MAIER/VAGNATO, 4. Aufl. 2017, Art. 17 N 28, je m.w.H.). Gestützt darauf ist eine Erweiterung der ursprünglichen Beschwerde im Rahmen einer Stellungnahme nach Fristablauf grundsätzlich nicht beachtlich, und die Aufsichtsbehörde hat sich diesbezüglich nicht zu äussern. Es bleibt aber im speziellen Fall festzuhalten, dass die vor Vorinstanz neu vorgetragenen Umstän- de offenbar eine dem Beschwerdeführer (das ergibt sich zumindest sinngemäss aus seinen Ausführungen) zugestellte Kostenrechnung betreffen, was für sich ein</w:t>
      </w:r>
    </w:p>
    <w:p>
      <w:r>
        <w:t>- 6 - anderes Beschwerdeobjekt darstellte, als die Frage nach der Zustellung der Zah- lungsbefehle. Mithin stellt sich die Frage, ob der Beschwerdeführer im Rahmen seiner Erweiterung der Beschwerde nicht eigentlich eine neue Beschwerde an- hängig machen wollte. Beim Beschwerdeführer handelt es sich um einen juristi- schen Laien, welchem der Umstand, dass er nicht das bereits hängige Beschwer- deverfahren thematisch erweitern kann, sondern vielmehr eine neue Beschwerde einzureichen hätte, nicht ohne weiteres bewusst sein dürfte. Unter diesen Um- ständen wäre es angezeigt gewesen, dass die Vorinstanz – auch unter Nachach- tung der geltenden Untersuchungsmaxime (§ 83 Abs. 3 GOG) – Abklärungen zur Frage, ob ein neues Beschwerdeobjekt vorliegt und die Eingabe des Beschwerde- führers allenfalls als neue Beschwerde zu behandeln wäre, trifft. Zu diesem Zweck ist der Vorinstanz nochmals eine Kopie der bei ihr eingegangenen Stel- lungnahme vom 13. Juli 2020 (act. 9) zuzustellen. 5. Das Verfahren vor den kantonalen Aufsichtsbehörden in Schuldbetreibungs- und Konkurssachen ist grundsätzlich kostenlos (Art. 20a Abs. 2 Ziff. 5 SchKG und Art. 61 Abs. 2 GebV SchKG). Parteienschädigungen sind keine zuzusprechen (vgl. Art. 62 Abs. 2 GebV SchKG).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