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PS200175 vom 6. Oktober 2020</w:t>
      </w:r>
    </w:p>
    <w:p>
      <w:r>
        <w:t>ZH Obergericht, 2020-10-06, DE</w:t>
      </w:r>
    </w:p>
    <w:p>
      <w:r>
        <w:rPr>
          <w:b/>
        </w:rPr>
        <w:t xml:space="preserve">Quelle: </w:t>
      </w:r>
      <w:r>
        <w:t>https://mcp.opencaselaw.ch/entscheid/zh_obergericht_PS200175</w:t>
      </w:r>
    </w:p>
    <w:p>
      <w:r>
        <w:t>FR: ZH_OBERGERICHT PS200175 du 6 octobre 2020</w:t>
      </w:r>
    </w:p>
    <w:p>
      <w:r>
        <w:t>IT: ZH_OBERGERICHT PS200175 del 6 ottobre 2020</w:t>
      </w:r>
    </w:p>
    <w:p>
      <w:pPr>
        <w:pStyle w:val="Heading2"/>
      </w:pPr>
      <w:r>
        <w:t>Erwägungen</w:t>
      </w:r>
    </w:p>
    <w:p>
      <w:r>
        <w:rPr>
          <w:b/>
        </w:rPr>
        <w:t>E. 1.1</w:t>
      </w:r>
    </w:p>
    <w:p>
      <w:r>
        <w:t>In der Betreibung Nr. 2 des Steueramts Zürich gegen A._____ pfändete das Betreibungsamt B._____ am 8. Juni 2020 ein Guthaben des Schuldners im Betrag von Fr. 1'000.–, herrührend aus einem Kontoguthaben bei der C._____ AG (vgl. act. 2/1; Pfändung Nr. 1). Mit Eingabe vom 5. August 2020 beschwerte sich der Schuldner beim Bezirksgericht Zürich als untere kantonale Aufsichtsbe- hörde über Betreibungsämter (nachfolgend Vorinstanz) gegen diese Pfändung (vgl. act. 1). Mit Beschluss vom 14. August 2020 trat die Vorinstanz ohne Einho- lung einer Vernehmlassung des Betreibungsamtes auf die Beschwerde nicht ein (vgl. act. 7). Dagegen erhob der Schuldner rechtzeitig Beschwerde beim Oberge- richt als obere kantonale Aufsichtsbehörde über Schuldbetreibung und Konkurs (vgl. act. 5/3 und act. 8). Innert Frist ging keine Beschwerdeantwort ein (vgl. act. 11-12). Die vorinstanzlichen Akten wurden beigezogen (vgl. act. 1-5). Das Verfah- ren ist spruchreif.</w:t>
      </w:r>
    </w:p>
    <w:p>
      <w:r>
        <w:rPr>
          <w:b/>
        </w:rPr>
        <w:t>E. 1.2</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(vgl. Art. 320 ZPO).</w:t>
      </w:r>
    </w:p>
    <w:p>
      <w:r>
        <w:rPr>
          <w:b/>
        </w:rPr>
        <w:t>E. 2.1</w:t>
      </w:r>
    </w:p>
    <w:p>
      <w:r>
        <w:t>Die Vorinstanz trat auf die Beschwerde nicht ein, da sie diese nicht als hin- reichend begründet erachtete. Was der Grund für die behauptete Ungültigkeit sein soll, gehe aus den Ausführungen des Schuldners nicht hervor. Vielmehr be- schränke sich dieser darauf, die Pfändungsurkunde sowie nicht näher bezeichne- te Betreibungshandlungen pauschal anzufechten (vgl. act. 7 E. 4). Der Schuldner ist hingegen der Ansicht, seine Beschwerde sei sehr wohl begründet. Die Hand- lungen eines Amtes, welches dermassen Pfusch betreibe und welches ohne Zu- stellung eines Zahlungsbefehls völlig unbegründet und widerrechtlich Vermögen</w:t>
      </w:r>
    </w:p>
    <w:p>
      <w:r>
        <w:t>- 3 - entziehe bzw. entziehen lasse, verstiessen dermassen gegen das Grundrecht der Eigentumsgarantie, dass dafür kein Bestandschutz bestehe. Der Schuldner bean- standet sodann, dass nicht einmal eine Vernehmlassung des betroffenen Amtes eingeholt worden sei (vgl. act. 8 S. 1 f.).</w:t>
      </w:r>
    </w:p>
    <w:p>
      <w:r>
        <w:rPr>
          <w:b/>
        </w:rPr>
        <w:t>E. 2.2</w:t>
      </w:r>
    </w:p>
    <w:p>
      <w:r>
        <w:t>In seiner vorinstanzlichen Beschwerde schrieb der Schuldner u.a., bestrit- ten werde bzw. würde (falls eine betreibungsrelevante Schuld bestünde) jegliche Anerkennung einer rechtskonformen Zustellung eines Zahlungsbefehls bzw. einer rechtskonformen Ersatzvornahme sowie jegliche allfälligen angeblichen zu einer Pfändung führenden Amtshandlungen. Ebenfalls bestritten werde bzw. würde ei- ne angebliche Pfändung einschliesslich "Pfändungsurkunde (Pfändungs-Nr. 1)" und jegliche Pfändungshandlung (vgl. act. 1 S. 1). Durch die konkrete Erwähnung der mangelnden rechtskonformen Zustellung eines Zahlungsbefehls und die kon- krete Bezugnahme auf die Pfändungsurkunde der Pfändung Nr. 1 ergibt sich aus der vorinstanzlichen Beschwerde nach Treu und Glauben ein genügend konkreter Einwand, nämlich dass im Vorfeld der Pfändung Nr. 1 keine rechtskonforme Zu- stellung eines entsprechenden Zahlungsbefehls erfolgt sei (welchen Einwand er mangels weiterer Amtshandlungen auch nicht früher habe vorbringen können), auch wenn nicht zu verkennen ist, dass die vorgebrachten Bestreitungen des Schuldners im Übrigen ein teilweise fast schon diffuses Sammelsurium an unspe- zifischen Beschwerdegründen darstellen. Gestützt auf die vorhandenen Akten lässt sich nicht beurteilen, ob dieser Einwand zutrifft oder ob das Betreibungsamt den Zahlungsbefehl nicht vielmehr rechtskonform zugestellt hat; für die Beurtei- lung bedarf es der Stellungnahme des Betreibungsamtes. Um diese einzuholen, ist die Sache an die Vorinstanz zurückzuweisen. Aus der Stellungnahme des Betreibungsamtes sollte sich auch ergeben, ob der Beschwerdeführer mit der Zustellung der Pfändungsurkunde rechnen musste und deshalb Art. 138 Abs. 3 lit. a ZPO analog zur Anwendung gelangt (vgl. BGer 5A_738/2010 vom 28. Januar 2011 E. 3), mit entsprechenden Folgen für die Fristwahrung im vorinstanzlichen Verfahren. Auf die weiteren Rügen ist demnach nicht weiter einzugehen.</w:t>
      </w:r>
    </w:p>
    <w:p>
      <w:r>
        <w:t>- 4 -</w:t>
      </w:r>
    </w:p>
    <w:p>
      <w:r>
        <w:rPr>
          <w:b/>
        </w:rPr>
        <w:t>E. 3</w:t>
      </w:r>
    </w:p>
    <w:p>
      <w:r>
        <w:t>Das Beschwerdeverfahren ist kostenlos (Art. 20a Abs. 2 Ziff. 5 SchKG und Art. 61 Abs. 2 GebV SchKG). Parteientschädigungen sind nicht zuzusprechen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