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PS200156 vom 17. Juli 2020</w:t>
      </w:r>
    </w:p>
    <w:p>
      <w:r>
        <w:t>ZH Obergericht, 2020-07-17, DE</w:t>
      </w:r>
    </w:p>
    <w:p>
      <w:r>
        <w:rPr>
          <w:b/>
        </w:rPr>
        <w:t xml:space="preserve">Quelle: </w:t>
      </w:r>
      <w:r>
        <w:t>https://mcp.opencaselaw.ch/entscheid/zh_obergericht_PS200156</w:t>
      </w:r>
    </w:p>
    <w:p>
      <w:r>
        <w:t>FR: ZH_OBERGERICHT PS200156 du 17 juillet 2020</w:t>
      </w:r>
    </w:p>
    <w:p>
      <w:r>
        <w:t>IT: ZH_OBERGERICHT PS200156 del 17 luglio 2020</w:t>
      </w:r>
    </w:p>
    <w:p>
      <w:pPr>
        <w:pStyle w:val="Heading2"/>
      </w:pPr>
      <w:r>
        <w:t>Erwägungen</w:t>
      </w:r>
    </w:p>
    <w:p>
      <w:r>
        <w:rPr>
          <w:b/>
        </w:rPr>
        <w:t>E. 2</w:t>
      </w:r>
    </w:p>
    <w:p>
      <w:r>
        <w:t>Mir befreien von C._____ und D._____, da hab ich seit 23.07.2015 Krankenkasse. jeder Einwohner in der Stadt Zürich müssen versichert zu sein.</w:t>
      </w:r>
    </w:p>
    <w:p>
      <w:r>
        <w:rPr>
          <w:b/>
        </w:rPr>
        <w:t>E. 3</w:t>
      </w:r>
    </w:p>
    <w:p>
      <w:r>
        <w:t>Alle Betreibungen und pfändigungen gelöscht werden und mir Beschädigung besprechen.</w:t>
      </w:r>
    </w:p>
    <w:p>
      <w:r>
        <w:rPr>
          <w:b/>
        </w:rPr>
        <w:t>E. 3.1</w:t>
      </w:r>
    </w:p>
    <w:p>
      <w:r>
        <w:t>Das Verfahren der Aufsichtsbeschwerde in Schuldbetreibungs- und Kon- kurssachen richtet sich nach den Bestimmungen von Art. 20a Abs. 2 SchKG. So- weit Art. 20a Abs. 2 SchKG keine Bestimmungen enthält, regeln die Kantone das Verfahren (Art. 20a Abs. 3 SchKG; vgl. auch BSK SchKG I-COMETTA/MÖCKLI, 2. Aufl., Art. 20a N 38). Im Kanton Zürich richtet sich das Beschwerdeverfahren gemäss §§ 17 und 18 EG SchKG nach §§ 80 f. und 83 f. GOG. Danach ist der Sachverhalt von Amtes wegen zu untersuchen und es sind die Bestimmungen der ZPO sinngemäss anwendbar (§ 83 Abs. 3 GOG). Für den Weiterzug an das Obergericht gelten insbesondere die Bestimmungen über die Beschwerde ge- mäss Art. 319 ff. ZPO (§ 84 GOG).</w:t>
      </w:r>
    </w:p>
    <w:p>
      <w:r>
        <w:rPr>
          <w:b/>
        </w:rPr>
        <w:t>E. 3.2</w:t>
      </w:r>
    </w:p>
    <w:p>
      <w:r>
        <w:t>Die Beschwerde ist gemäss Art. 321 Abs. 1 ZPO zu begründen. Beim Be- gründungserfordernis handelt es sich um eine von Amtes wegen zu prüfende Zu- lässigkeitsvoraussetzung; fehlt sie, ist auf das Rechtsmittel nicht einzutreten. Die Begründung muss hinreichend genau und eindeutig sein, um von der Rechtsmit- telinstanz ohne Weiteres verstanden werden zu können. Der Beschwerdeführer hat sich mit den Erwägungen des vorinstanzlichen Entscheids einlässlich ausei- nanderzusetzen und im Einzelnen darzulegen, an welchen konkreten Mängeln der angefochtene Entscheid seiner Ansicht nach leidet und in welchem Sinne er abgeändert werden soll. Was nicht in dieser Weise beanstandet wird, hat Bestand (vgl. BGE 138 III 374, E. 4.3.1; BGer, 5A_209/2014 vom 2. September 2014, E. 4.2.1; 5A_387/2016 vom 7. September 2016, E. 3.1). Diese Begründungsan- forderungen gelten gleichermassen auch in Verfahren, in welchen – wie vorlie-</w:t>
      </w:r>
    </w:p>
    <w:p>
      <w:r>
        <w:t>- 4 - gend (§ 83 Abs. 3 GOG) – der Untersuchungsgrundsatz gilt (BGE 138 III 374, E. 4.3.1; 141 III 569, E. 2.3.3), geht es doch im Rechtsmittelverfahren um die Über- prüfung des von der Vorinstanz getroffenen Entscheids aufgrund von konkret er- hobenen Beanstandungen und nicht darum, dass die Rechtsmittelinstanz von sich aus eine umfassende Prüfung aller sich stellender Rechts- bzw. Tatfragen vor- nimmt, als wäre dem Rechtsmittelverfahren noch keine gerichtliche Beurteilung vorangegangen. Bei Parteien ohne anwaltliche Vertretung wird an die Begrün- dungslast zwar ein weniger strenger Massstab angelegt. Bei fehlender Auseinan- dersetzung bzw. Begründung ist jedoch ohne weiteres auf die Beschwerde nicht einzutreten (ZR 110 Nr. 80; OGer ZH PS110192 vom 21. Februar 2012 E. 5.1).</w:t>
      </w:r>
    </w:p>
    <w:p>
      <w:r>
        <w:rPr>
          <w:b/>
        </w:rPr>
        <w:t>E. 3.3</w:t>
      </w:r>
    </w:p>
    <w:p>
      <w:r>
        <w:t>Thema des vorinstanzlichen Verfahrens war, ob die Pfändung Nr. 1 gültig vorgenommen worden ist. Die Vorinstanz hat in diesem Zusammenhang geprüft, ob in den vier Betreibungen (Nrn. 2; 3; 4 und 5), welche an der entsprechenden Pfändung teilnehmen, das Betreibungsverfahren gesetzmässig durchgeführt wur- de. Dies hat sie bejaht, nachdem sie geprüft hatte, ob in allen Betreibungen die Rechtsvorschläge des Beschwerdeführers rechtsgültig beseitigt (vgl. act. 15 S. 5 f., E. 4.2.1-2), die Fortsetzungsbegehren fristgerecht gestellt worden seien und hernach ordnungsgemäss, insbesondere in Anwesenheit des Schuldners, ge- pfändet worden sei. Nachträglich sei dem Beschwerdeführer sodann die am</w:t>
      </w:r>
    </w:p>
    <w:p>
      <w:r>
        <w:rPr>
          <w:b/>
        </w:rPr>
        <w:t>E. 3.4</w:t>
      </w:r>
    </w:p>
    <w:p>
      <w:r>
        <w:t>Der Beschwerdeführer führt in seiner Beschwerde mit konkretem Bezug zu den dem Pfändungsverfahren zugrunde liegenden Betreibungen einzig aus, die in Betreibung gesetzten Forderungen würden zu Unrecht geltend gemacht, weil der von der betreibenden Gläubigerin (E1._____ SA) vorgelegte Vertrag verfälscht worden sei (act. 16 S. 2). Mit diesem Vorbringen scheint sich der Beschwerdefüh- rer auf den Versicherungsbeginn des den Betreibungen zugrunde liegenden Ver- sicherungsvertrages zu beziehen, welcher auf 03/2017 abgeändert worden sei (vgl. act. 18/1). Der Beschwerdeführer führt allerdings weder aus, wann seiner Meinung nach der eigentliche Versicherungsbeginn gewesen sei, noch trägt er vor, weshalb dies einen Einfluss auf die Rechtmässigkeit der für den Zeitraum</w:t>
      </w:r>
    </w:p>
    <w:p>
      <w:r>
        <w:t>- 5 - zwischen Oktober 2018 und Dezember 2018 in Betreibung gesetzten Versiche- rungsleistungen habe (vgl. act. 5/1/1-4). Eine Auseinandersetzung mit den vo- rinstanzlichen Erwägungen fehlt sodann gänzlich und der Beschwerdeführer zeigt somit insbesondere nicht auf, inwiefern der Vorinstanz eine offensichtlich falsche Sachverhaltsfeststellung oder eine unrichtige Rechtsanwendung vorzuwerfen wä- re (Art. 310 ZPO). Die Begründung des Beschwerdeführers genügt daher den ge- setzlichen Anforderungen von vornherein nicht, weshalb auf die Beschwerde nicht einzutreten ist.</w:t>
      </w:r>
    </w:p>
    <w:p>
      <w:r>
        <w:rPr>
          <w:b/>
        </w:rPr>
        <w:t>E. 4</w:t>
      </w:r>
    </w:p>
    <w:p>
      <w:r>
        <w:t>Für das Verfahren vor der oberen kantonalen Aufsichtsbehörde in Schuldbe- treibungs- und Konkurssachen sind keine Kosten zu erheben (Art. 20a Abs. 2 Ziff. 5 SchKG). Gemäss Art. 62 Abs. 2 GebV SchKG sind keine Parteientschädi- 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