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PS200144 vom 4. August 2020</w:t>
      </w:r>
    </w:p>
    <w:p>
      <w:r>
        <w:t>ZH Obergericht, 2020-08-04, DE</w:t>
      </w:r>
    </w:p>
    <w:p>
      <w:r>
        <w:rPr>
          <w:b/>
        </w:rPr>
        <w:t xml:space="preserve">Quelle: </w:t>
      </w:r>
      <w:r>
        <w:t>https://mcp.opencaselaw.ch/entscheid/zh_obergericht_PS200144</w:t>
      </w:r>
    </w:p>
    <w:p>
      <w:r>
        <w:t>FR: ZH_OBERGERICHT PS200144 du 4 août 2020</w:t>
      </w:r>
    </w:p>
    <w:p>
      <w:r>
        <w:t>IT: ZH_OBERGERICHT PS200144 del 4 agosto 2020</w:t>
      </w:r>
    </w:p>
    <w:p>
      <w:pPr>
        <w:pStyle w:val="Heading2"/>
      </w:pPr>
      <w:r>
        <w:t>Erwägungen</w:t>
      </w:r>
    </w:p>
    <w:p>
      <w:r>
        <w:rPr>
          <w:b/>
        </w:rPr>
        <w:t>E. 1</w:t>
      </w:r>
    </w:p>
    <w:p>
      <w:r>
        <w:t>Die A._____ (fortan Schuldnerin) ist Inhaberin der seit dem tt. März. 2013 im Handelsregister des Kantons Zürich eingetragenen Einzelunternehmung "C._____" mit Sitz in D._____. Gemäss Eintrag im Handelsregister bezweckt die Gesellschaft die Erbringung von Dienstleistungen in den Bereichen Montage, Sprinkler und Reinigung (act. 5/9).</w:t>
      </w:r>
    </w:p>
    <w:p>
      <w:r>
        <w:rPr>
          <w:b/>
        </w:rPr>
        <w:t>E. 2</w:t>
      </w:r>
    </w:p>
    <w:p>
      <w:r>
        <w:t>Mit Urteil vom 4. Juni 2020, 11:15 Uhr, eröffnete das Einzelgericht des Be- zirksgerichtes Winterthur gestützt auf die Betreibung Nr. 1 (Zahlungsbefehl vom 24. Juni 2019) des Betreibungsamtes E._____ und die Konkursandrohung vom</w:t>
      </w:r>
    </w:p>
    <w:p>
      <w:r>
        <w:rPr>
          <w:b/>
        </w:rPr>
        <w:t>E. 5</w:t>
      </w:r>
    </w:p>
    <w:p>
      <w:r>
        <w:t>Die Akten der Vorinstanz wurden von Amtes wegen beigezogen (act. 8/1– 10). Das Verfahren erweist sich damit als spruchreif. II. Materielles 1. Gemäss Art. 174 Abs. 2 SchKG kann die Konkurseröffnung im Beschwerde- verfahren aufgehoben werden, wenn der Schuldner mit der Einlegung des Rechtsmittels durch Urkunden einen der drei gesetzlich vorgesehenen Kon- kursaufhebungsgründe (Tilgung, Hinterlegung oder Gläubigerverzicht) nachweist und (kumulativ) seine Zahlungsfähigkeit glaubhaft macht. Neue Behauptungen und Urkundenbeweise über konkurshindernde Tatsachen sind im Beschwerdever- fahren unbeschränkt zugelassen, unabhängig davon, ob sie vor oder nach dem erstinstanzlichen Entscheid ergangen sind. Jedoch muss die Begründung samt Belegen vollständig innert der zehntägigen Beschwerdefrist erfolgen (vgl. BGE 136 III 294 und BGE 139 III 491). Da es sich bei der Beschwerdefrist um eine ge- setzliche Frist handelt, ist die Gewährung einer Fristerstreckung bzw. einer Nach- frist ausgeschlossen (Art. 144 Abs. 1 ZPO). 2. Die Schuldnerin weist mittels Postquittungen nach, dass sie am 23. Juni 2020 Fr. 2'923.85 (act. 5/5) und am 25. Juni 2020 Fr. 50.60 (act. 5/6), somit ins-</w:t>
      </w:r>
    </w:p>
    <w:p>
      <w:r>
        <w:t>- 4 - gesamt Fr. 2'974.45, direkt an die Gläubigerin bezahlt hat. Die Konkursforderung, welche sich – entgegen der Berechnung der Vorinstanz – einschliesslich Zinsen und Kosten auf Fr. 2'967.45 beläuft (vgl. act. 8/3/1, act. 8/3/2 und act. 9), ist durch diese Zahlungen vollständig gedeckt. Weiter belegt die Schuldnerin mittels Bestä- tigung des Konkursamtes E._____-D._____ vom 25. Juni 2020, beim Konkursamt die Kosten des Konkursgerichtes und des Konkursverfahrens bis zu einer allfälli- gen Konkursaufhebung mit einer Zahlung von Fr. 500.– sichergestellt zu haben (act. 5/7). Damit ist die der Konkurseröffnung zu Grunde liegende Forderung ein- schliesslich Zinsen und Kosten getilgt und sind die Kosten des erstinstanzlichen Verfahrens sowie des Konkursamtes hinterlegt. 3. 3.1 Wird die Konkursforderung (inkl. Zinsen und Kosten) – wie hier – erst nach der Konkurseröffnung getilgt, kann die Rechtsmittelinstanz die Konkurseröffnung aber nur dann aufheben, wenn der Schuldner zusätzlich seine Zahlungsfähigkeit glaubhaft macht. Zahlungsfähigkeit bedeutet, dass ausreichende, liquide Mittel vorhanden sind, mit welchen die Gläubiger bei Fälligkeit ihrer Forderungen befrie- digt werden können. Der Schuldner hat deshalb aufzuzeigen, dass er in der Lage ist, in näherer Zukunft seinen laufenden Verbindlichkeiten nachzukommen sowie die bestehenden Schulden abzutragen. Bloss vorübergehende Zahlungsschwie- rigkeiten lassen einen Schuldner noch nicht als zahlungsunfähig erscheinen. An- ders verhält es sich jedoch, wenn keine Anhaltspunkte für eine Verbesserung der finanziellen Lage zu erkennen sind und der Schuldner deshalb auf unabsehbare Zeit hinaus als illiquid erscheint. Absehbare Veränderungen, die ihm die Tilgung seiner Schulden erlauben würden, sind grundsätzlich zu berücksichtigen; diese müssen jedoch so konkret dargelegt werden, dass insgesamt glaubhaft ist, die gegenwärtigen Zahlungsschwierigkeiten seien nur vorübergehender Natur. Auch wenn der Schuldner die Zahlungsfähigkeit nicht strikt beweisen, sondern nur glaubhaft machen muss, so genügen seine Behauptungen allein nicht. Er muss die Angaben durch objektive Anhaltspunkte untermauern, so dass das Gericht den Eindruck hat, die Behauptungen seien zutreffend, ohne das Gegenteil aus- schliessen zu müssen (vgl. OGer ZH PS180150 vom 14. September 2018 E. 2.3).</w:t>
      </w:r>
    </w:p>
    <w:p>
      <w:r>
        <w:t>- 5 - Die Zahlungsfähigkeit des Schuldners muss wahrscheinlicher sein als seine Zah- lungsunfähigkeit (BGE 132 III 715 E. 3.1.; BGE 132 III 140 E. 4.1.2; BGer 5A_297/2012 vom 10. Juli 2012 E. 2.3). 3.2 In Bezug auf ihre Zahlungsfähigkeit macht die Schuldnerin im Wesentlichen geltend, wie sich aus dem Betreibungsregisterauszug des Betreibungsamtes E.____ vom 17. Juni 2020 betreffend die Schuldnerin ergebe, seien im Zeitpunkt der Konkurseröffnung nur drei aktive Betreibungen gegen sie vorgelegen. Diese stammten alle von der gleichen Gläubigerin, nämlich der Beschwerdegegnerin. Wie sich aus den Beträgen bei allen drei Betreibungen zeige, handle es sich da- bei immer um die gleiche Betreibung für die jeweils gleiche Forderung, die auf- grund des Zinses kontinuierlich betragsmässig leicht angestiegen sei (act. 2 Rz. 18). Die einzige Betreibung einer anderen Gläubigerin (Eidgenössische Steuer- verwaltung) sei erloschen und damals von der Schuldnerin ratenweise getilgt worden. Dass bei keiner der Forderungen im Betreibungsregister ein Rechtsvor- schlag vermerkt sei, zeige sodann, dass die Schuldnerin gerade nicht systema- tisch Rechtsvorschlag erhebe. Damit fehle es an einem wichtigen Indiz für das Vorliegen einer Zahlungsunfähigkeit (vgl. act. 2 Rz. 20). Als Grund für die ausgebliebene Zahlung an die Beschwerdegegnerin (Gläubigerin der Konkursforderung) macht die Schuldnerin geltend, sie sei fälsch- licherweise parallel bei drei verschiedenen Krankenkassen gleichzeitig versichert gewesen. Von einem Versicherungsberater der Beschwerdegegnerin sei ihr ver- sichert worden, sie müsse die ausstehenden Rechnungen nicht bezahlen und es würden auch keine weiteren Rechnungen mehr gestellt. Trotzdem sei sie von der Beschwerdegegnerin in der Folge aber mehrfach betrieben worden (act. 2 Rz. 21 f.). In Bezug auf den Status der Einzelunternehmung "C._____" führt die Schuldnerin sodann aus, dass diese bereits seit mehreren Jahren inaktiv sei. Die Einzelunternehmung verfüge über kein Geschäft mehr; daher könnten zum Beleg der Zahlungsfähigkeit auch keine Kreditoren- und Debitorenlisten, Umsatzzahlen oder Projektpläne eingereicht werden. Ihre Zahlungspflichten bestünden aus den üblichen Forderungen eines Schweizer Haushaltes, wie die Forderung der Be-</w:t>
      </w:r>
    </w:p>
    <w:p>
      <w:r>
        <w:t>- 6 - schwerdegegnerin zeige. Sie (die Schuldnerin) sei Hausfrau und kümmere sich um die Kindererziehung, während ihr Ehemann, F._____, das Familieneinkom- men erziele und zwar mit seinem Unternehmen "G._____ GmbH" (act. 2 Rz. 23). Weiter gibt die Schuldnerin an, sie sei davon ausgegangen, dass die Einzelunter- nehmung im Handelsregister längst gelöscht worden sei. Sie beabsichtige, die Einzelunternehmung – sofern der Konkurs aufgehoben werde – demnächst aus dem Handelsregister löschen zu lassen (act. 2 Rz. 23). 3.3 Wesentlichen Aufschluss über das Zahlungsverhalten und die finanzielle Lage eines Schuldners gibt insbesondere das Betreibungsregister. Dem aktuellen Betreibungsregisterauszug der Schuldnerin des Betreibungsamtes E._____ vom 17. Juni 2020 (act. 5/8) lässt sich entnehmen, dass gegen die Schuldnerin im Zeitraum vom 13. August 2015 bis zum 16. Dezember 2019 insgesamt vier Be- treibungen eingeleitet worden sind (inklusive Konkursforderung [Betreibung Nr. 1]). Von diesen vier Betreibungen ist eine Betreibung bereits erloschen. Die beiden weiteren Betreibungsforderungen nebst der Konkursforderung (Betreibun- gen Nrn. 2 und 3) befinden sich bereits im Stadium der Konkursandrohung und belaufen sich auf einen Betrag von insgesamt Fr. 5'414.40 (act. 5/8). Nicht getilg- te Verlustscheine aus Pfändungen der letzten 20 Jahre oder frühere Konkurser- öffnungen sind nicht registriert. Zudem wurde mit Urteil des Einzelgerichtes des Bezirksgerichtes Winterthur vom 4. Juni 2020 erstmals der Konkurs über die Schuldnerin eröffnet (act. 5/8 S. 2). Ob und in welcher Höhe gegenüber der Schuldnerin nebst diesen Betreibungsforderungen weitere offene Forderungen bestehen, ist dem Gericht nicht bekannt. Die Schuldnerin hat dazu nichts ausge- führt. Da sich die beiden weiteren Betreibungsforderungen gemäss Betreibungs- registerauszug vom 17. Juni 2020 (Betreibungen Nrn. 1 und 2) im Gesamtbetrag von Fr. 5'414.40 bereits im Stadium der Konkursandrohung befinden, müsste die Schuldnerin aber immerhin diese Forderungen im Gesamtbetrag von Fr. 5'414.40 jederzeit bzw. sofort tilgen können, damit ihre Zahlungsfähigkeit bejaht werden könnte. Vorderhand ist deshalb zu prüfen, ob die Schuldnerin dazu finanziell in der Lage scheint.</w:t>
      </w:r>
    </w:p>
    <w:p>
      <w:r>
        <w:t>- 7 - 3.4 Nebst dem Betreibungsregisterauszug hat die Schuldnerin keinerlei Unterla- gen zu ihren finanziellen Verhältnissen eingereicht. Ebenfalls fehlt es bereits an substantiierten Behauptungen betreffend die finanziellen Verhältnisse der Schuld- nerin. So führte die Schuldnerin in der Beschwerdeschrift zwar aus, ihr Ehemann erziele das Familieneinkommen mit seinem Unternehmen "G._____ GmbH" allei- ne (act. 2 Rz. 23), ohne aber dieses angebliche Einkommen des Ehemannes be- tragsmässig zu konkretisieren oder zu belegen. Auch hinsichtlich ihrer laufenden Ausgaben begnügt sich die Schuldnerin mit der pauschalen Angabe, ihre Zah- lungspflichten bestünden aus den "üblichen Forderungen eines Schweizer Haus- haltes". Dies, obwohl sie mit Verfügung vom 1. Juli 2020 explizit darauf hingewie- sen worden war, dass sie (innert der Beschwerdefrist von zehn Tagen ab Erhalt jener Verfügung) entweder glaubhaft zu machen habe, dass die Betreibungen Nrn. 2 und 3 gemäss Betreibungsregisterauszug vom 17. Juni 2020 (act. 5/8) mit der Tilgung der Konkursforderung tatsächlich hinfällig geworden seien (z.B. mit- tels entsprechender schriftlicher Bestätigung der Gläubigerin) oder aber sie weite- re Unterlagen einzureichen habe, die über ihre Zahlungsfähigkeit Aufschluss gä- ben (z.B. aktuelle Bankkontobelege über vorhandene liquide Mittel, Belege über das vom Ehemann erzielte Familieneinkommen, Belege über regelmässige Aus- gaben für den Lebensunterhalt, etc., vgl. act. 10 E. 4.3 ff.). Da die Schuldnerin dieser Aufforderung nicht nachgekommen ist, bleibt unklar, ob und in welchem Umfang die Schuldnerin über finanzielle Mittel verfügt und ob sie damit die aus dem Betreibungsregisterauszug ersichtlichen (weiteren) Betreibungsforderungen im Stadium der Konkursandrohung relativ unmittelbar begleichen könnte. 3.5 Wie bereits in der Verfügung vom 1. Juli 2020 (act. 10) ausgeführt, ergibt sich sodann entgegen der Ansicht der Schuldnerin weder aus dem Betreibungs- registerauszug (act. 5/8) noch aus den von Amtes wegen beigezogenen vor- instanzlichen Akten (act. 8/1–10), dass den im Betreibungsregisterauszug aufge- führten weiteren Betreibungsforderungen der Gläubigerin ein und dieselbe Forde- rung zugrunde liegt wie der Konkursforderung. Die Konkursforderung betrifft die KVG-Prämien für den Zeitraum vom 1. Januar 2019 bis zum 31. März 2019 (act. 8/3/1–2). Es ist deshalb durchaus denkbar, dass die weiteren im Betreibungsre- gisterauszug aufgeführten Betreibungen der Gläubigerin vom 23. September</w:t>
      </w:r>
    </w:p>
    <w:p>
      <w:r>
        <w:t>- 8 - 2019 und vom 16. Dezember 2019 die KVG-Prämien für einen anderen Zeitraum von drei Monaten betreffen und deshalb im Betrag fast gleich hoch sind, und so- mit neben bzw. zusätzlich zur inzwischen getilgten Konkursforderung bestehen. 3.6 Zusammenfassend ist festzuhalten, dass die Zahlungsfähigkeit der Schuld- nerin mangels Unterlagen zu ihren finanziellen Verhältnissen nicht beurteilt wer- den kann. Da damit die Zahlungsfähigkeit der Schuldnerin nicht glaubhaft ge- macht wurde, muss dies zur Abweisung der Beschwerde führen, zumal hier ge- stützt auf den Betreibungsregisterauszug des Betreibungsamtes E._____ davon ausgegangen werden muss, dass gegenüber der Schuldnerin nebst der Konkurs- forderung weitere Forderungen im Umfang von mindestens Fr. 5'414.40 beste- hen, für welche der Konkurs bereits angedroht wurde. Da überdies bereits unklar ist, welche Mittel der Schuldnerin zur Deckung ihrer Lebenshaltungskosten zur Verfügung stehen, kann hier selbst bei einer sehr wohlwollenden Betrachtung nicht davon ausgegangen werden, dass die Zahlungsfähigkeit der Schuldnerin wahrscheinlicher ist als ihre Zahlungsunfähigkeit. 4. Da die Zahlungsfähigkeit der Schuldnerin nach dem Gesagten nicht als glaubhaft gemacht gelten kann, sind die Voraussetzungen für die Aufhebung des Konkurses gemäss Art. 174 Abs. 2 SchKG nicht erfüllt. Dementsprechend ist die Beschwerde abzuweisen. Da der Beschwerde die aufschiebende Wirkung zuer- kannt worden ist, ist der Konkurs neu zu eröffnen. III. Kosten- und Entschädigungsfolgen Ausgangsgemäss sind die Gerichtskosten des Beschwerdeverfahrens der Schuldnerin aufzuerlegen (Art. 106 Abs. 1 ZPO). Parteientschädigungen sind nicht zuzusprechen: Der Schuldnerin nicht, weil sie unterliegt, der Gläubigerin nicht, weil sie im Beschwerdeverfahren nicht begrüsst wurde.</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