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PS200140 vom 3. Juli 2020</w:t>
      </w:r>
    </w:p>
    <w:p>
      <w:r>
        <w:t>ZH Obergericht, 2020-07-03, DE</w:t>
      </w:r>
    </w:p>
    <w:p>
      <w:r>
        <w:rPr>
          <w:b/>
        </w:rPr>
        <w:t xml:space="preserve">Quelle: </w:t>
      </w:r>
      <w:r>
        <w:t>https://mcp.opencaselaw.ch/entscheid/zh_obergericht_PS200140</w:t>
      </w:r>
    </w:p>
    <w:p>
      <w:r>
        <w:t>FR: ZH_OBERGERICHT PS200140 du 3 juillet 2020</w:t>
      </w:r>
    </w:p>
    <w:p>
      <w:r>
        <w:t>IT: ZH_OBERGERICHT PS200140 del 3 luglio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Sachverhalt / Prozessgeschichte</w:t>
      </w:r>
    </w:p>
    <w:p>
      <w:r>
        <w:rPr>
          <w:b/>
        </w:rPr>
        <w:t>E. 1.1</w:t>
      </w:r>
    </w:p>
    <w:p>
      <w:r>
        <w:t>Der Gesuchsteller, Schuldner und Beschwerdeführer (nachfolgend: Schuld- ner) erhob in der von der Gesuchsgegnerin, Gläubigerin und Beschwerdegegne- rin (nachfolgend: Gläubigerin) eingeleiteten Betreibung Nr. 1 Rechtsvorschlag mit der Begründung fehlenden neuen Vermögens gemäss Art. 265a SchKG. Nach- dem die Gläubigerin die Betreibung innert Frist nicht zurückgezogen hatte, über- wies das Betreibungsamt den Zahlungsbefehl am 14. November 2019 dem Ein- zelgericht des Bezirksgerichts Bülach (nachfolgend: Vorinstanz). Daraus geht ei- ne Forderung von Fr. 837.55 (Fr. 604.05 + Fr. 218.60 + Fr. 15.–) hervor (vgl. act. 5/1 und 5/2).</w:t>
      </w:r>
    </w:p>
    <w:p>
      <w:r>
        <w:rPr>
          <w:b/>
        </w:rPr>
        <w:t>E. 1.2</w:t>
      </w:r>
    </w:p>
    <w:p>
      <w:r>
        <w:t>Nachdem die ursprünglich auf den 24. März 2020 angesetzte Verhandlung zufolge der Corona-Pandemie verschoben werden musste (act. 5/15 und act. 5/16), wurde der Schuldner neu auf den 19. Mai 2020 zur Hauptverhandlung vorgeladen (act. 5/17). Zu dieser erschien er nicht (Prot. Vi. S. 7), meldete sich jedoch gleichentags telefonisch bei der Vorinstanz und erklärte, er habe zur Ver- handlung nicht erscheinen können, da er erkrankt sei. Daraufhin wurde ihm er- klärt, dass er ein Verschiebungs- bzw. Wiederherstellungsgesuch schriftlich zu stellen habe und gleichzeitig ein (ärztliches) Zeugnis beizubringen habe, welches ihm eine Verhandlungsunfähigkeit bescheinige (vgl. act. 5/18). Am 26. Mai 2020 überbrachte der Schuldner der Vorinstanz ein ärztliches Zeugnis, welches ihm für den Zeitraum vom 18. bis zum 22. Mai 2020 eine Arbeitsunfähigkeit von 100 % bescheinigt (act. 5/19).</w:t>
      </w:r>
    </w:p>
    <w:p>
      <w:r>
        <w:rPr>
          <w:b/>
        </w:rPr>
        <w:t>E. 1.3</w:t>
      </w:r>
    </w:p>
    <w:p>
      <w:r>
        <w:t>Mit Verfügung und Urteil vom 29. Mai 2020 (act. 5/20 = act. 3 [Akten- exemplar]) entschied die Vorinstanz wie folgt:</w:t>
      </w:r>
    </w:p>
    <w:p>
      <w:r>
        <w:t>- 3 - Es wird verfügt: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