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PS200137 vom 23. Juni 2020</w:t>
      </w:r>
    </w:p>
    <w:p>
      <w:r>
        <w:t>ZH Obergericht, 2020-06-23, DE</w:t>
      </w:r>
    </w:p>
    <w:p>
      <w:r>
        <w:rPr>
          <w:b/>
        </w:rPr>
        <w:t xml:space="preserve">Quelle: </w:t>
      </w:r>
      <w:r>
        <w:t>https://mcp.opencaselaw.ch/entscheid/zh_obergericht_PS200137</w:t>
      </w:r>
    </w:p>
    <w:p>
      <w:r>
        <w:t>FR: ZH_OBERGERICHT PS200137 du 23 juin 2020</w:t>
      </w:r>
    </w:p>
    <w:p>
      <w:r>
        <w:t>IT: ZH_OBERGERICHT PS200137 del 23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15. Juni 2020 (Datum Poststempel) erhob die Gesuchs- gegnerin und Beschwerdeführerin (nachfolgend: Beschwerdeführerin) Beschwer- de (act. 29) gegen das Urteil des Nachlassgerichts des Bezirksgerichts Zürich vom 28. Mai 2020 (act. 28, Geschäfts-Nr. EC2100005/U). In prozessualer Hin- sicht beantragt die Beschwerdeführerin, es sei der Beschwerde die aufschieben- de Wirkung zu erteilen, bis der Entscheid des Obergerichtes im vorliegenden Ver- fahren rechtskräftig sei (vgl. act. 29 S. 2).</w:t>
      </w:r>
    </w:p>
    <w:p>
      <w:r>
        <w:rPr>
          <w:b/>
        </w:rPr>
        <w:t>E. 2</w:t>
      </w:r>
    </w:p>
    <w:p>
      <w:r>
        <w:t>Anlässlich der Vergleichsverhandlung am Handelsgericht Zürich im Rahmen des Forderungsprozesses mit der Geschäfts-Nr. HG190135 schlossen die Partei- en am 16. Juni 2020 einen Vergleich (act. 33). Im Rahmen dieses Vergleichs zog die dortige Klägerin und hiesige Beschwerdeführerin die Beschwerde gegen das obgenannte Urteil des Nachlassgerichts zurück (vgl. a.a.O., Ziffer 5).</w:t>
      </w:r>
    </w:p>
    <w:p>
      <w:r>
        <w:rPr>
          <w:b/>
        </w:rPr>
        <w:t>E. 3</w:t>
      </w:r>
    </w:p>
    <w:p>
      <w:r>
        <w:t>Das Beschwerdeverfahren ist entsprechend abzuschreiben. Damit wird das Gesuch um Erteilung der aufschiebenden Wirkung obsolet. 4.1 Mit dem Rückzug wird auch die erstinstanzliche Regelung der Kosten- und Entschädigungsfolge rechtskräftig. 4.2 Ausgangsgemäss sind die Prozesskosten des Rechtsmittelverfahrens der Beschwerdeführerin aufzuerlegen. Mangels erheblicher Umtriebe ist der Gesuch- stellerin und Beschwerdegegnerin für das Rechtsmittelverfahren keine Parteient- 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