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PS200113 vom 11. Juni 2020</w:t>
      </w:r>
    </w:p>
    <w:p>
      <w:r>
        <w:t>ZH Obergericht, 2020-06-11, DE</w:t>
      </w:r>
    </w:p>
    <w:p>
      <w:r>
        <w:rPr>
          <w:b/>
        </w:rPr>
        <w:t xml:space="preserve">Quelle: </w:t>
      </w:r>
      <w:r>
        <w:t>https://mcp.opencaselaw.ch/entscheid/zh_obergericht_PS200113</w:t>
      </w:r>
    </w:p>
    <w:p>
      <w:r>
        <w:t>FR: ZH_OBERGERICHT PS200113 du 11 juin 2020</w:t>
      </w:r>
    </w:p>
    <w:p>
      <w:r>
        <w:t>IT: ZH_OBERGERICHT PS200113 del 11 giugno 2020</w:t>
      </w:r>
    </w:p>
    <w:p>
      <w:pPr>
        <w:pStyle w:val="Heading2"/>
      </w:pPr>
      <w:r>
        <w:t>Erwägungen</w:t>
      </w:r>
    </w:p>
    <w:p>
      <w:r>
        <w:rPr>
          <w:b/>
        </w:rPr>
        <w:t>E. 2</w:t>
      </w:r>
    </w:p>
    <w:p>
      <w:r>
        <w:t>Gemäss Art. 174 Abs. 2 SchKG kann die Konkurseröffnung im Beschwerde- verfahren aufgehoben werden, wenn der Schuldner mit der Einlegung des</w:t>
      </w:r>
    </w:p>
    <w:p>
      <w:r>
        <w:t>- 3 -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w:t>
      </w:r>
    </w:p>
    <w:p>
      <w:r>
        <w:rPr>
          <w:b/>
        </w:rPr>
        <w:t>E. 3</w:t>
      </w:r>
    </w:p>
    <w:p>
      <w:r>
        <w:t>Der Schuldner überbrachte der Kammer innert Beschwerdefrist zwei Belege vom 25. und vom 26. Mai 2020, woraus sich ergibt, dass er bei der Obergerichts- kasse den Betrag von insgesamt Fr. 3'200.– hinterlegt hat (act. 8 u. 9). Der hinter- legte Betrag reicht aus, die Konkursforderungen samt Zinsen sowie die administ- rativen Kosten und Betreibungskosten zu decken (vgl. act. 3 S. 2). Sodann über- brachte der Schuldner der Kammer eine Quittung des Konkursamtes Embrach vom 22. Mai 2020, wonach er dort Fr. 500.– für die mutmasslichen Kosten des Konkursverfahrens bis zum Entscheid des Obergerichts sichergestellt habe; die Kosten für das Bezirksgericht Bülach seien nicht mitberücksichtigt, da diese direkt bezahlt worden seien (act. 6). In den Akten der Vorinstanz findet sich ein Beleg, wonach der Schuldner beim Bezirksgericht Bülach die Fr. 200.– am 4. Mai 2020 geleistet hat; die Kosten der Vorinstanz wurden entsprechend im Entscheid mit diesem Vorschuss verrechnet (act. 7/9 u. act. 3 Dispositiv Ziffer 3). Damit weist der Schuldner den Konkursaufhebungsgrund der Hinterlegung im Sinne von Art. 174 Abs. 2 Ziff. 2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w:t>
      </w:r>
    </w:p>
    <w:p>
      <w:r>
        <w:t>- 4 -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 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seine Zahlungsunfähigkeit. Dabei dürfen keine zu strengen An- forderungen gestellt werden, insbesondere wenn die wirtschaftliche Lebensfähig- keit des schuldnerischen Unternehmens nicht von vornherein ausgeschlossen werden kann. Es liegt am Schuldner, Beweismittel vorzulegen, die geeignet sind, seine Zahlungsfähigkeit als glaubhaft erscheinen zu lassen (BGer 5A_297/2012 vom 10. Juli 2012 E. 2.3; BGer 5A_115/2012 vom 20. April 2012 E. 3). 4.2. Der Schuldner ist als Inhaber der Einzelunternehmung "C._____" seit dem 17. Mai 2019 im Handelsregister des Kantons Zürich eingetragen. Als Zweck ist "Masseur und Kosmetiker mit Zertifikat" angegeben (act. 5). In seiner Beschwerde bringt der Schuldner vor, am 27. Januar 2020 dem Betreibungsamt Embrach Fr. 3'398.80 aufgrund des Zahlungsbefehls der "B._____" vom 10. Dezember 2019 bezahlt zu haben; auf Nachfrage sei ihm mitgeteilt worden, dass alles begli- chen sei. Am 11. Mai 2019 habe er dann die Konkurseröffnung wegen eines Zah- lungsbefehls vom 10. September 2019 erhalten. Zur Betreibung sei es gekom- men, da er im Herbst 2018 gesundheitliche Probleme gehabt habe. Er habe – da er da gerade in die Schweiz gekommen sei – "auf die schnelle" einen Kranken- versicherungsvertrag abgeschlossen, ohne zu wissen, dass er vor einem Arztbe- such zuerst für eine Überweisung bei der Krankenkasse anrufen müsse. Aufgrund dessen sei er von der Krankenkasse mit hohen Kosten konfrontiert worden und mit den Zahlungen in Verzug geraten. Über seine Einzelfirma arbeite er bei der 'D._____' als Masseur für verschie- dene Hotels in Zürich, namentlich für das 'E._____', das 'F._____', die 'G._____'</w:t>
      </w:r>
    </w:p>
    <w:p>
      <w:r>
        <w:t>- 5 - etc. Aktuell beziehe er zudem Arbeitslosengeld und befinde sich im Anerken- nungsverfahren als Physiotherapeut. Sobald er anerkannt werde, könne er als Physiotherapeut arbeiten (act. 12). 4.3. Wesentlichen Aufschluss über das Zahlungsverhalten und die finanzielle Lage eines Schuldners gibt insbesondere der Betreibungsregisterauszug über die letzten fünf Jahre. Der Schuldner reicht einen Betreibungsregisterauszug vom 18. Mai 2020 ein (act. 13/1). Der aktuelle Betreibungsregisterauszug weist keine Verlustscheine aus. Aufgeführt sind neun Betreibungen über einen Gesamtbetrag von Fr. 7'530.35. Sieben der neun Betreibungen wurden bezahlt. Abzüglich der hinterlegten Konkursforderung (Betreibung Nr. 1) ist heute noch eine Betreibung im Umfang von Fr. 660.– offen, bezüglich welcher Rechtsvorschlag erhoben wur- de. 4.4.1 Der Schuldner begründet seine Betreibungen wie gezeigt damit, dass er aufgrund unerwartet hoher Arztkosten mit Zahlungen in Rückstand geraden sei, die Nichtzahlung der nun für die Konkurseröffnung ursächliche Forderungen sei auf ein Missverständnis zurückzuführen (vgl. E. 4.2 sowie act. 12, vgl. auch Beila- gen act. 13/2; 13/3 [wobei die darin aufgeführte und beglichene Betreibung Nr. 2 offenbar aus dem Betreibungsregisterauszug gelöscht wurde]). Ansonsten unter- lässt es der Schuldner aber weitgehend, sich zu seinen finanziellen Verhältnissen zu äussern. Weder reicht er dem Gericht eine (Zwischen-)Bilanz noch eine Er- folgsrechnung oder Steuerdokumente ein, welche ein umfassendes Bild über die finanzielle Situation zulassen würden. Unter diesen Umständen ist es nicht mög- lich, gesamthaft die vorhandenen Aktiven und Passiven sowie einen allfälligen Gewinn oder Verlust der letzten Jahre zu beurteilen. Dies wäre für die Beurteilung der Zahlungsfähigkeit und des Geschäftsganges von immanenter Wichtigkeit. Folglich ist auch nichts bekannt bezüglich der laufenden Ausgaben im Zusam- menhang mit der Einzelunternehmung. 4.4.2 Der Schuldner führt denn zu seinen persönlichen Fixkosten immerhin aus, zusammen mit seiner Tochter und seiner Freundin in einer 4.5-Zimmer-Wohnung zu wohnen. Seine monatlichen Fixkosten würden Fr. 2'410.– betragen (hälftige Miete Fr. 1'040.–, Krankenkasse Fr. 270.–, Autoleasing Fr. 560.–, Mobiltelefon</w:t>
      </w:r>
    </w:p>
    <w:p>
      <w:r>
        <w:t>- 6 - Fr. 100.– und sonstige Autokosten [Versicherung und Strassenverkehrsabgaben] rund Fr. 440.–). Dabei nicht berücksichtigt sind indes Kosten für Güter des alltäg- lichen Lebens, wie Nahrung, Kleidung etc. weshalb von tatsächlich höheren Fix- kosten auszugehen ist. Zu den Einkünften ergibt sich aus den eingereichten Unterlagen wenig. So ist aus einer eingereichten Abrechnung der Arbeitslosenkasse ersichtlich, dass der Schuldner für den Monat April 2019 eine Auszahlung von Fr. 1'660.15 erhielt, wobei ein Zwischenverdienst von Fr. 1'688.– berücksichtigt worden war (vgl. act. 13/8 bzw. 13/9), woraus sich ein monatliches Einkommen von rund Fr. 3'349.– ergibt. Die nun schon mehr als ein Jahr zurückliegenden Einkünfte – welche insbesondere noch vor Eintragung der Einzelunternehmung ins Han- delsregister (17. Mai 2019) generiert worden waren – sind für die aktuelle Zah- lungsfähigkeit nicht aussagekräftig. Ebenso wenig aussagekräftig für die Beurtei- lung der aktuellen Zahlungsfähigkeit ist die "Rechnung Dienstleistung D._____" für die Abrechnungsperiode vom 21. Mai 2019 bis 20. Juni 2019. Zwar ergibt sich daraus, dass der Schuldner in dieser Zeit Fr. 1'493.75 mit Massagen und kosme- tischen Behandlungen verdient hat. Weder reicht dieser Betrag aber aus, seine monatlichen Fixkosten zu begleichen, noch lassen sich aus dieser Abrechnung Schlüsse in Bezug auf die aktuelle wirtschaftliche Leistungsfähigkeit ziehen. Ob und welche Einkünfte der Beschwerdeführer seit Juni 2019 erzielte, ist nicht be- kannt. 4.4.3 Es bleibt damit insgesamt im Dunkeln, wie sich die aktuelle Geschäftslage des Schuldners darstellt und ob allenfalls Vermögen vorhanden ist. Eine Beurtei- lung der aktuellen Zahlungsfähigkeiten ist unter diesen Umständen nicht möglich, und es ist nicht erkennbar, woraus der Schuldner seine laufenden Fixkosten be- streitet bzw. inwieweit er dazu aus seiner Geschäftstätigkeit in der Lage oder al- lenfalls auf die Hilfe Dritter angewiesen ist. Auch zur künftigen Liquidität ist nichts bekannt. Zwar macht der Schuldner in diesem Zusammenhang geltend, sich um einen Anerkennung als Physiotherapeut zu bemühen und nach Anerkennung auch als solcher arbeiten zu wollen. Aus einer entsprechenden Beilage ergibt sich aber einzig (act. 13/12), dass ein "Anerkennungsgesuch" beim Schweizerischen Roten Kreuz eingereicht wurde und noch weitere Unterlagen nachzureichen sein</w:t>
      </w:r>
    </w:p>
    <w:p>
      <w:r>
        <w:t>- 7 - werden. Darüber, ob und in welchem Zeitraum tatsächlich mit einer Anerkennung zu rechnen ist und inwiefern sich dies auf die Geschäftslage des Schuldners aus- wirkt, kann nur spekuliert werden. 4.4.4 Damit behauptet und belegt der Schuldner seine Zahlungsfähigkeit nur un- genügend, weshalb diese nicht glaubhaft gemacht ist. Die Beschwerde ist folglich abzuweisen. Da der Beschwerde die aufschiebende Wirkung zuerkannt worden ist, ist der Konkurs neu zu eröffnen.</w:t>
      </w:r>
    </w:p>
    <w:p>
      <w:r>
        <w:rPr>
          <w:b/>
        </w:rPr>
        <w:t>E. 5</w:t>
      </w:r>
    </w:p>
    <w:p>
      <w:r>
        <w:t>Der Vollständigkeit halber ist der Schuldner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Ausgangsgemäss sind die Kosten des Beschwerdeverfahrens von Fr. 750.– dem Schuldner aufzuerlegen (Art. 106 Abs. 1 ZPO). Eine Parteientschädigung für das Beschwerdeverfahren ist nicht zuzusprechen; dem Schuldner nicht aufgrund seines Unterliegens, der Gläubigerin nicht mangels Umtrieben in diesem Verfah-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