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PS200100 vom 19. Juni 2020</w:t>
      </w:r>
    </w:p>
    <w:p>
      <w:r>
        <w:t>ZH Obergericht, 2020-06-19, DE</w:t>
      </w:r>
    </w:p>
    <w:p>
      <w:r>
        <w:rPr>
          <w:b/>
        </w:rPr>
        <w:t xml:space="preserve">Quelle: </w:t>
      </w:r>
      <w:r>
        <w:t>https://mcp.opencaselaw.ch/entscheid/zh_obergericht_PS200100</w:t>
      </w:r>
    </w:p>
    <w:p>
      <w:r>
        <w:t>FR: ZH_OBERGERICHT PS200100 du 19 juin 2020</w:t>
      </w:r>
    </w:p>
    <w:p>
      <w:r>
        <w:t>IT: ZH_OBERGERICHT PS200100 del 19 giugno 2020</w:t>
      </w:r>
    </w:p>
    <w:p>
      <w:pPr>
        <w:pStyle w:val="Heading2"/>
      </w:pPr>
      <w:r>
        <w:t>Erwägungen</w:t>
      </w:r>
    </w:p>
    <w:p>
      <w:r>
        <w:rPr>
          <w:b/>
        </w:rPr>
        <w:t>E. 1.1</w:t>
      </w:r>
    </w:p>
    <w:p>
      <w:r>
        <w:t>Der Beschwerdeführer gelangte am 1. Februar 2019 an das Bezirksgericht Bülach als untere kantonale Aufsichtsbehörde in Schuldbetreibungs- und Kon- kurssachen und verlangte die Aufhebung von vier Betreibungen (Betreibungen Nr. 1, Nr. 2, Nr. 3 und Nr. 4 des Betreibungsamtes B._____) zufolge Nichtigkeit sowie die Löschung von deren Einträgen in den Registern (act. 2/1 und act. 2/4/1).</w:t>
      </w:r>
    </w:p>
    <w:p>
      <w:r>
        <w:rPr>
          <w:b/>
        </w:rPr>
        <w:t>E. 1.2</w:t>
      </w:r>
    </w:p>
    <w:p>
      <w:r>
        <w:t>Mit Beschluss vom 25. Februar 2019 wies das Bezirksgericht Bülach das Begehren ab, soweit es darauf eintrat (act. 2/7). Dagegen führte der Beschwerde- führer mit Eingabe vom 18. März 2019 Beschwerde bei der II. Zivilkammer des Obergerichts Zürich als obere kantonale Aufsichtsbehörde in Schuldbetreibungs- und Konkurssachen. Er verlangte die Aufhebung des angefochtenen Entscheides, die Rückweisung der Sache an die Vorinstanz mit der Anweisung, auf die Be- schwerde einzutreten und dem Beschwerdeführer Gelegenheit einzuräumen, die Nichtigkeit der Betreibungen zufolge Urteilsunfähigkeit zu begründen und die nö- tigen Beweismittel vorzulegen, unter Kosten- und Entschädigungsfolgen zu Las- ten der Staatskasse. Die Kammer wies die Beschwerde mit Urteil vom</w:t>
      </w:r>
    </w:p>
    <w:p>
      <w:r>
        <w:rPr>
          <w:b/>
        </w:rPr>
        <w:t>E. 1.3</w:t>
      </w:r>
    </w:p>
    <w:p>
      <w:r>
        <w:t>Gegen diesen Beschluss erhob der Beschwerdeführer mit Eingabe vom 30. April 2020 erneut Beschwerde bei der Kammer (act. 17). Er beantragt die</w:t>
      </w:r>
    </w:p>
    <w:p>
      <w:r>
        <w:t>- 3 - Aufhebung des angefochtenen Entscheides, die Aufhebung der Betreibungen Nr. 1, Nr. 2, Nr. 3 und Nr. 4 des Betreibungsamtes B._____ und die Löschung der entsprechenden Betreibungsregistereinträge, unter Kosten- und Entschädigungs- folge zu Lasten der Staatskasse. Die vorinstanzlichen Akten wurden beigezogen (act. 1-14). Das Verfahren erweist sich als spruchreif. 2. 2.1. Das Verfahren der Aufsichtsbeschwerde in Schuldbetreibungs- und Kon- kurssachen richtet sich nach den Bestimmungen von Art. 20a Abs. 2 SchKG. So- weit Art. 20a Abs. 2 SchKG keine Bestimmungen enthält, regeln die Kantone das Verfahren (Art. 20a Abs. 3 SchKG; COMETTA/MÖCKLI, BSK SchKG-I, 2. Aufl. 2010, Art. 20a N 38). Im Kanton Zürich richtet sich das Beschwerdeverfahren gemäss § 18 EG SchKG nach § 83 f. GOG. Dabei ist der Sachverhalt von Amtes wegen zu untersuchen und es sind die Bestimmungen der ZPO sinngemäss anwendbar (§ 83 Abs. 3 GOG). Für den Weiterzug an das Obergericht gelten insbesondere die Bestimmungen über die Beschwerde gemäss Art. 319 ff. ZPO (§ 84 GOG). 2.2. Die Beschwerde ist bei der Rechtsmittelinstanz innert der Rechtsmittelfrist schriftlich, mit Anträgen versehen und begründet einzureichen (Art. 321 Abs. 1 ZPO). Mit der Beschwerde kann die unrichtige Rechtsanwendung und die offensichtlich unrichtige Feststellung des Sachverhaltes geltend gemacht werden (Art. 320 ZPO). Neue Tatsachen und Beweismittel sind im Beschwerdeverfahren ausgeschlossen (Art. 326 ZPgl. OGer ZH PS110019, Urteil vom 21. Febru- ar 2011, E. 3.4). 2.3. Die vorliegende Beschwerde vom 30. April 2020 (Datum Poststempel) wur- de innert der Rechtsmittelfrist schriftlich, mit Anträgen versehen und begründet bei der Kammer als der zuständigen Rechtsmittelinstanz eingereicht. Der Be- schwerdeführer ist durch den angefochtenen Entscheid beschwert und zur Be- schwerde legitimiert. Es ist daher auf die Beschwerde einzutreten.</w:t>
      </w:r>
    </w:p>
    <w:p>
      <w:r>
        <w:t>- 4 - 3. 3.1. Der Beschwerdeführer macht im Wesentlichen geltend, gegen ihn seien im Jahr 2007 beim Betreibungsamt B._____ vier Betreibungen mit den Nrn. 1, 2, 5 und 4 eingeleitet worden, aus welchen später die Verlustscheine mit den Nrn. 6, 7, 8 und 9 hervorgegangen seien. Zu diesem Zeitpunkt sei er infolge einer chroni- schen paranoiden Schizophrenie nicht urteilsfähig und damit nicht betreibungsfä- hig gewesen, weshalb die Betreibungen nichtig seien (act. 2/1 und act. 17 S. 3). Für den Nachweis der Urteilsunfähigkeit stützte sich der Beschwerdeführer bei der Vorinstanz insbesondere auf die medizinischen Beurteilungen der Arbeitsbe- lastbarkeit bzw. beruflichen Integration von Dr. med. C._____ zu Handen der IV- Stelle der SVA Zürich vom 9. Juni 2005 und vom 18. Juli 2008 (act. 12/5-6 und act. 12/8), auf eine verkehrsmedizinische Begutachtung des Instituts für Rechts- medizin der D._____ vom 12. September 2006 (act. 12/7), auf vier Kurzberichte des Spitals E._____ vom 27. Oktober 2006, vom 22. März 2010, vom 26. Juni 2010 und vom 14. September 2012 (act. 12/9-12), auf zwei Berichte der F._____ Klinik vom 22. April 2014 und vom 21. Mai 2014 (act. 12/13-14), auf ei- nen Kurzaustrittsbericht der Integrierten Psychiatrie G._____ vom 29. Januar 2019 (act. 12/16), auf ein ärztliche Zeugnis von Dr. med. H._____ vom</w:t>
      </w:r>
    </w:p>
    <w:p>
      <w:r>
        <w:rPr>
          <w:b/>
        </w:rPr>
        <w:t>E. 5</w:t>
      </w:r>
    </w:p>
    <w:p>
      <w:r>
        <w:t>April 2019 ab (act. 2/16). Die dagegen erhobene Beschwerde in Zivilsachen hiess die II. zivilrechtliche Abteilung des Bundesgerichts mit Urteil vom</w:t>
      </w:r>
    </w:p>
    <w:p>
      <w:r>
        <w:rPr>
          <w:b/>
        </w:rPr>
        <w:t>E. 7</w:t>
      </w:r>
    </w:p>
    <w:p>
      <w:r>
        <w:t>Oktober 2019 gut, hob das Urteil der Kammer auf und wies die Sache zu neuer Entscheidung im Sinne der Erwägungen an die Kammer zurück (BGer Urteil 5A_358/2019 vom 7. Oktober 2019 = act. 2/18). In der Folge hiess die Kammer mit Urteil vom 8. November 2019 die Beschwerde gut, hob den Beschluss des Bezirksgerichtes Bülach vom 25. Februar 2019 auf und wies die Sache im Sinne der Erwägungen zur neuen Entscheidung an das Bezirksgericht zurück (act. 2/17 = act. 1). Mit Beschluss vom 9. April 2020 wies das Bezirksgericht Bülach die Be- schwerde ab (act. 13 = act. 16).</w:t>
      </w:r>
    </w:p>
    <w:p>
      <w:r>
        <w:rPr>
          <w:b/>
        </w:rPr>
        <w:t>E. 11</w:t>
      </w:r>
    </w:p>
    <w:p>
      <w:r>
        <w:t>März 2019 (act. 12/17) und auf ein Arztzeugnis von pract. med. I._____ vom</w:t>
      </w:r>
    </w:p>
    <w:p>
      <w:r>
        <w:rPr>
          <w:b/>
        </w:rPr>
        <w:t>E. 12</w:t>
      </w:r>
    </w:p>
    <w:p>
      <w:r>
        <w:t>September 2006 (vgl. act. 12/7), dem Kurzbericht des Spitals E._____ vom 27. Oktober 2006 (vgl. act. 12/9) und den Berichten der F._____-Klinik aus dem Jahr 2014 (vgl. act. 12/13-14) nichts zu Gunsten des Beschwerdeführers abgelei- tet werden. Alle diese Unterlagen befassen sich nicht mit der Urteilsfähigkeit des Beschwerdeführers, was der Beschwerdeführer im Übrigen auch selber nicht in Abrede stellt. d) Schliesslich bleibt zu bemerken, dass aus dem Fehlen erwachsenenschutz- rechtlicher Massnahmen nicht zwangsläufig auf Urteilsfähigkeit geschlossen wer- den kann, worauf der Beschwerdeführer zu Recht hinweist. Umgekehrt würde ei- ne errichtete Beistandschaft aber jedenfalls darauf hindeuten, dass zumindest im betreffenden Bereich ein dauerhafter Schwächezustand und ein Unvermögen be- stehen würde, die eigenen Angelegenheiten hinreichend bzw. zweckmässig zu besorgen oder entsprechende Vollmachten zu erteilen (vgl. Art. 390 Abs. 1 Ziff.1). Da der Beschwerdeführer nicht verbeiständet ist, kann auch daraus nichts zu sei- nen Gunsten abgeleitet werden. 4.4. Demzufolge ging die Vorinstanz im Zusammenhang mit den Betreibungs- handlungen im Jahr 2007 zu Recht im Sinne der gesetzlichen Vermutung von Art. 16 ZGB von der Urteils- und mithin der Handlungs- sowie Betreibungsfähig- keit des Beschwerdeführers aus und verneinte die Nichtigkeit der Betreibungen Nr. 1, Nr. 2, Nr. 3 und Nr. 4 des Betreibungsamtes B._____. Die Beschwerde ist folglich abzuweisen. 5. Das Verfahren vor den kantonalen Aufsichtsbehörden in Schuldbetreibungs- und Konkurssachen ist grundsätzlich kostenlos (Art. 20a Abs. 2 Ziff. 5 SchKG und Art. 61 Abs. 2 GebV SchKG). Eine Parteienschädigung ist nicht zuzusprechen (vgl. Art. 62 Abs. 2 GebV SchKG).</w:t>
      </w:r>
    </w:p>
    <w:p>
      <w:r>
        <w:t>- 10 -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