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PS200083 vom 7. April 2020</w:t>
      </w:r>
    </w:p>
    <w:p>
      <w:r>
        <w:t>ZH Obergericht, 2020-04-07, DE</w:t>
      </w:r>
    </w:p>
    <w:p>
      <w:r>
        <w:rPr>
          <w:b/>
        </w:rPr>
        <w:t xml:space="preserve">Quelle: </w:t>
      </w:r>
      <w:r>
        <w:t>https://mcp.opencaselaw.ch/entscheid/zh_obergericht_PS200083</w:t>
      </w:r>
    </w:p>
    <w:p>
      <w:r>
        <w:t>FR: ZH_OBERGERICHT PS200083 du 7 avril 2020</w:t>
      </w:r>
    </w:p>
    <w:p>
      <w:r>
        <w:t>IT: ZH_OBERGERICHT PS200083 del 7 aprile 2020</w:t>
      </w:r>
    </w:p>
    <w:p>
      <w:pPr>
        <w:pStyle w:val="Heading2"/>
      </w:pPr>
      <w:r>
        <w:t>Erwägungen</w:t>
      </w:r>
    </w:p>
    <w:p>
      <w:r>
        <w:rPr>
          <w:b/>
        </w:rPr>
        <w:t>E. 1.1</w:t>
      </w:r>
    </w:p>
    <w:p>
      <w:r>
        <w:t>A._____ (Beschwerdeführerin) und B._____ (Beschwerdegegner) sind Mit- glieder der Stockwerkeigentümergemeinschaft C._____-strasse … in Zürich. Mit Zahlungsbefehl vom 15. Oktober 2019 betrieb die Beschwerdeführerin den Be- schwerdegegner für eine Forderung von Fr. 100.– nebst Zinsen; als Grund wurde "Entschädigung für Missbrauch des Besucherparkplatz" angegeben (act. 5/2/1). Gleichzeitig reichte sie (soweit ersichtlich) gegen fünf weitere Mitglieder der Stockwerkeigentümergemeinschaft identische Betreibungsbegehren ein (vgl. act. 5/12/1).</w:t>
      </w:r>
    </w:p>
    <w:p>
      <w:r>
        <w:rPr>
          <w:b/>
        </w:rPr>
        <w:t>E. 1.2</w:t>
      </w:r>
    </w:p>
    <w:p>
      <w:r>
        <w:t>Am 1. November 2019 erhob der Beschwerdegegner beim Bezirksgericht Zürich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5/23]).</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des Beschwerdegegners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den Beschwer- degegner mehrmals schriftlich auf den Missbrauch des Besucherparkplatzes an- gesprochen und um eine Entschädigung dafür gebeten zu haben. Damit vermöge sie die Forderung nicht einmal ansatzweise zu plausibilisieren. In der eingereich- ten Rechnung an den Beschwerdegegner sei ferner bloss von einer "symboli- schen Entschädigung" von Fr. 100.– die Rede. Auch dies lasse vermuten, dass die betriebene Forderung jeglicher Grundlage entbehre. Offensichtlich sei die Be- schwerdeführerin auch nicht zur Eintreibung von Forderungen für die Stockwer- keigentümergemeinschaft legitimiert. Sie habe die Betreibung denn auch in eige- nem Namen eingeleitet. Überdies falle auf, dass die Beschwerdeführerin die frag- lichen Betreibungen nur wenige Tage nachdem sie selbst von der Stockwerkei- gentümergemeinschaft für offene Beiträge betrieben worden sei, angehoben ha- be. All dies lasse keinen anderen Schluss zu, als dass die eingeleitete Betreibung einzig der Rache bzw. Schikane diene. Damit erscheine die Betreibung als offen- 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5/22/1 Ziffer 15). Offenbar wurde zudem an einer Stockwerkei- gentümerversammlung vom 12. Juli 2018 sowie im Nachgang dazu auf schriftli- chem Weg eine detailliertere Nutzungsordnung der Besucherparkplätze bespro- chen, gegen welche sich die Beschwerdeführerin wehrt (vgl. act. 5/2/5). Inwiefern die Beschwerdeführerin daraus aber eine Forderung gegenüber dem Beschwer- degegner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kei- neswegs so entschieden. Sie hat lediglich in diesem Zusammenhang festgehal- ten, der Umstand, dass die fraglichen Betreibungen der Beschwerdeführerin un- mittelbar auf die Betreibung durch die Stockwerkeigentümergemeinschaft hin er- folgten, deute im Zusammenhang mit der fehlenden Plausibilisierung der Forde- rung auf eine Schikanebetreibung hin. Diese Beurteilung ist nicht zu beanstanden.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CB190151 vom 17. Dezember 2019, OGer ZH PS200001 vom 10. Januar 2020 und BGer 5A_76/2020 vom 10. Februar 2020). Dass die Beschwerdeführerin bei der unteren Aufsichtsbehörde im März 2020 offenbar ein erneutes solches Begehren stellte, ändert daran nichts (vgl. act. 7). Selbst wenn aber die Betreibung durch die Stockwerkeigentümergemeinschaft zu Unrecht er- folgt sein sollte, würde dies keine grundlose Betreibung seitens der Beschwerde- 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