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PS200071 vom 6. April 2020</w:t>
      </w:r>
    </w:p>
    <w:p>
      <w:r>
        <w:t>ZH Obergericht, 2020-04-06, DE</w:t>
      </w:r>
    </w:p>
    <w:p>
      <w:r>
        <w:rPr>
          <w:b/>
        </w:rPr>
        <w:t xml:space="preserve">Quelle: </w:t>
      </w:r>
      <w:r>
        <w:t>https://mcp.opencaselaw.ch/entscheid/zh_obergericht_PS200071</w:t>
      </w:r>
    </w:p>
    <w:p>
      <w:r>
        <w:t>FR: ZH_OBERGERICHT PS200071 du 6 avril 2020</w:t>
      </w:r>
    </w:p>
    <w:p>
      <w:r>
        <w:t>IT: ZH_OBERGERICHT PS200071 del 6 aprile 2020</w:t>
      </w:r>
    </w:p>
    <w:p>
      <w:pPr>
        <w:pStyle w:val="Heading2"/>
      </w:pPr>
      <w:r>
        <w:t>Erwägungen</w:t>
      </w:r>
    </w:p>
    <w:p>
      <w:r>
        <w:rPr>
          <w:b/>
        </w:rPr>
        <w:t>E. 1</w:t>
      </w:r>
    </w:p>
    <w:p>
      <w:r>
        <w:t>Am 18. September 2019 verlangte die B._____ AG für die C._____ [Bank] beim Betreibungsamt Zürich 7 eine Betreibungsauskunft über Frau A._____ (Be- schwerdeführerin). Am 5. Februar 2020 sandte das Betreibungsamt der Be- schwerdeführerin wunschgemäss den Interessennachweis der C._____ (vgl. act. 5/2/1-2). Die Beschwerdeführerin erhob am 17. Februar 2020 Beschwerde beim Bezirksgericht Zürich als untere kantonale Aufsichtsbehörde über Betrei- bungsämter (Vorinstanz). Darin führte sie aus, dem Interessennachweis sei keine Vollmacht der C._____ an die B._____ AG beigelegt. Das Betreibungsamt habe somit einen Betreibungsauszug ohne einen rechtsgültigen Interessennachweis ausgehändigt. Die Beschwerdeführerin beantragte, der Interessennachweis sei für nichtig zu erklären und das Betreibungsamt sei aufzufordern, sie für die Ver- letzung des Datenschutzes angemessen zu entschädigen (vgl. act. 5/1). Die Vorinstanz trat mit Beschluss vom 24. Februar 2020 auf die Beschwerde nicht ein. Sie erwog, der vorgelegte Interessennachweis stelle als blosse Beweisurkun- de keine Amtshandlung dar und könne als solche nicht Streitgegenstand eines betreibungsrechtlichen Beschwerdeverfahrens sein. Soweit die Beschwerdeführe- rin sinngemäss die Feststellung einer angeblichen Pflichtverletzung durch das Be- treibungsamt verlange, fehle es an einem praktischen Verfahrenszweck: Die be- anstandete Auskunft sei erteilt worden und könne nicht zurückgenommen werden. Für Schadenersatzbegehren wegen angeblicher Verletzung des Datenschutzes fehle der angerufenen Aufsichtsbehörde schliesslich die sachliche Zuständigkeit (vgl. act. 4). Gegen diesen Beschluss erhob die Beschwerdeführerin am 10. März 2020 (Post- stempel) rechtzeitig Beschwerde beim Obergericht als obere kantonale Aufsichts- behörde über die Betreibungsämter. Sie wiederholte ihre beiden vorinstanzlichen Anträge und beantragte zudem, das Betreibungsamt sei aufzufordern, künftig richtige Auskunft darüber zu geben, wo sie sich im Fall von Datenschutzverlet- zungen beschweren soll (vgl. act. 2 und 4/2). Die vorinstanzlichen Akten wurden beigezogen (act. 5). Von der Einholung einer Vernehmlassung kann abgesehen</w:t>
      </w:r>
    </w:p>
    <w:p>
      <w:r>
        <w:t>- 3 - werden (vgl. § 18 EG SchKG i.V.m. § 84 GOG i.V.m. Art. 324 ZPO). Das Verfah- 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Beschwerdeführerin wiederholt ihre beiden vorinstanzlichen Anträge oh- ne auch nur mit einem Wort auf die vorinstanzliche Begründung für die Abwei- sung dieser Anträge einzugehen. Damit sind die elementaren Voraussetzungen an die Beschwerdebegründung nicht erfüllt. Beim dritten Antrag handelt es sich um einen neuen und damit unzulässigen Antrag. Ohnehin fehlt es an einer Grund- lage, das Betreibungsamt zur Erteilung der verlangten Auskunft aufzufordern; die- ses ist keine Stelle für allgemeine Rechtsauskunft. Im Ergebnis ist auf die Be- schwerde nicht einzutreten.</w:t>
      </w:r>
    </w:p>
    <w:p>
      <w:r>
        <w:rPr>
          <w:b/>
        </w:rPr>
        <w:t>E. 4</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w:t>
      </w:r>
    </w:p>
    <w:p>
      <w:r>
        <w:t>- 4 - dass sie im Falle weiterer mangelhafter oder klar unberechtigter Eingaben mit der Auflage von Gebühren und Auslagen zu rechnen habe (vgl. OGer ZH PS200001 vom 10. Januar 2020 E.12; zugestellt am 18. Januar 2020). In ihrer Beschwerde geht die Beschwerdeführerin mit keinem Wort auf die vorinstanzliche Begründung ein, sie äussert sich lediglich zum unzulässigen neuen Antrag. Der Beschwerde- führerin sind deshalb androhungsgemäss die Kosten aufzuerlegen. Parteient- 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